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mallCaps/>
          <w:sz w:val="28"/>
          <w:szCs w:val="28"/>
        </w:rPr>
      </w:pPr>
      <w:bookmarkStart w:id="0" w:name="_GoBack"/>
      <w:bookmarkEnd w:id="0"/>
      <w:r>
        <w:rPr>
          <w:b/>
          <w:bCs/>
          <w:smallCaps/>
          <w:sz w:val="28"/>
          <w:szCs w:val="28"/>
        </w:rPr>
        <w:t>TEACHING &amp; EXAMINATION SCHEME</w:t>
      </w:r>
    </w:p>
    <w:p>
      <w:pPr>
        <w:jc w:val="center"/>
        <w:rPr>
          <w:bCs/>
          <w:smallCaps/>
          <w:szCs w:val="28"/>
        </w:rPr>
      </w:pPr>
      <w:r>
        <w:rPr>
          <w:bCs/>
        </w:rPr>
        <w:t>For the Examination – 2020</w:t>
      </w:r>
    </w:p>
    <w:p>
      <w:pPr>
        <w:jc w:val="center"/>
        <w:rPr>
          <w:bCs/>
          <w:smallCaps/>
          <w:szCs w:val="28"/>
        </w:rPr>
      </w:pPr>
      <w:r>
        <w:rPr>
          <w:bCs/>
          <w:smallCaps/>
          <w:szCs w:val="28"/>
        </w:rPr>
        <w:t>ELECTRONICS</w:t>
      </w:r>
    </w:p>
    <w:p>
      <w:pPr>
        <w:jc w:val="center"/>
      </w:pPr>
    </w:p>
    <w:tbl>
      <w:tblPr>
        <w:tblStyle w:val="6"/>
        <w:tblW w:w="8408" w:type="dxa"/>
        <w:tblInd w:w="91" w:type="dxa"/>
        <w:tblLayout w:type="autofit"/>
        <w:tblCellMar>
          <w:top w:w="0" w:type="dxa"/>
          <w:left w:w="108" w:type="dxa"/>
          <w:bottom w:w="0" w:type="dxa"/>
          <w:right w:w="108" w:type="dxa"/>
        </w:tblCellMar>
      </w:tblPr>
      <w:tblGrid>
        <w:gridCol w:w="1217"/>
        <w:gridCol w:w="1260"/>
        <w:gridCol w:w="2940"/>
        <w:gridCol w:w="1097"/>
        <w:gridCol w:w="960"/>
        <w:gridCol w:w="934"/>
      </w:tblGrid>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right w:val="nil"/>
            </w:tcBorders>
          </w:tcPr>
          <w:p>
            <w:pPr>
              <w:jc w:val="center"/>
              <w:rPr>
                <w:rFonts w:ascii="Arial" w:hAnsi="Arial" w:cs="Arial"/>
                <w:b/>
                <w:bCs/>
                <w:sz w:val="28"/>
                <w:szCs w:val="28"/>
              </w:rPr>
            </w:pPr>
            <w:r>
              <w:rPr>
                <w:rFonts w:ascii="Arial" w:hAnsi="Arial" w:cs="Arial"/>
                <w:b/>
                <w:bCs/>
                <w:sz w:val="28"/>
                <w:szCs w:val="28"/>
              </w:rPr>
              <w:t>B.Sc. Part - I</w:t>
            </w: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2940"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center"/>
              <w:rPr>
                <w:rFonts w:ascii="Arial" w:hAnsi="Arial" w:cs="Arial"/>
                <w:b/>
                <w:bCs/>
                <w:szCs w:val="20"/>
              </w:rPr>
            </w:pPr>
            <w:r>
              <w:rPr>
                <w:rFonts w:ascii="Arial" w:hAnsi="Arial" w:cs="Arial"/>
                <w:b/>
                <w:bCs/>
                <w:szCs w:val="20"/>
              </w:rPr>
              <w:t>150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t>Elec. 101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2940" w:type="dxa"/>
            <w:tcBorders>
              <w:top w:val="nil"/>
              <w:left w:val="nil"/>
              <w:bottom w:val="nil"/>
              <w:right w:val="nil"/>
            </w:tcBorders>
          </w:tcPr>
          <w:p>
            <w:pPr>
              <w:pStyle w:val="3"/>
              <w:ind w:right="432"/>
              <w:jc w:val="both"/>
              <w:rPr>
                <w:b w:val="0"/>
                <w:bCs w:val="0"/>
              </w:rPr>
            </w:pPr>
            <w:r>
              <w:rPr>
                <w:b w:val="0"/>
                <w:bCs w:val="0"/>
              </w:rPr>
              <w:t xml:space="preserve">Circuit Elements and Networks      </w:t>
            </w:r>
          </w:p>
          <w:p/>
        </w:tc>
        <w:tc>
          <w:tcPr>
            <w:tcW w:w="1097" w:type="dxa"/>
            <w:tcBorders>
              <w:top w:val="nil"/>
              <w:left w:val="nil"/>
              <w:bottom w:val="nil"/>
              <w:right w:val="nil"/>
            </w:tcBorders>
            <w:noWrap/>
          </w:tcPr>
          <w:p>
            <w:pPr>
              <w:jc w:val="center"/>
            </w:pPr>
            <w:r>
              <w:t>2</w:t>
            </w:r>
          </w:p>
        </w:tc>
        <w:tc>
          <w:tcPr>
            <w:tcW w:w="960" w:type="dxa"/>
            <w:tcBorders>
              <w:top w:val="nil"/>
              <w:left w:val="nil"/>
              <w:bottom w:val="nil"/>
              <w:right w:val="nil"/>
            </w:tcBorders>
            <w:noWrap/>
          </w:tcPr>
          <w:p>
            <w:pPr>
              <w:jc w:val="center"/>
            </w:pPr>
            <w:r>
              <w:t>3</w:t>
            </w:r>
          </w:p>
        </w:tc>
        <w:tc>
          <w:tcPr>
            <w:tcW w:w="934" w:type="dxa"/>
            <w:tcBorders>
              <w:top w:val="nil"/>
              <w:left w:val="nil"/>
              <w:bottom w:val="nil"/>
              <w:right w:val="nil"/>
            </w:tcBorders>
            <w:noWrap/>
          </w:tcPr>
          <w:p>
            <w:pPr>
              <w:jc w:val="center"/>
            </w:pPr>
            <w: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t>Elec. 102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2940" w:type="dxa"/>
            <w:tcBorders>
              <w:top w:val="nil"/>
              <w:left w:val="nil"/>
              <w:bottom w:val="nil"/>
              <w:right w:val="nil"/>
            </w:tcBorders>
          </w:tcPr>
          <w:p>
            <w:pPr>
              <w:rPr>
                <w:rFonts w:eastAsia="MS Mincho"/>
              </w:rPr>
            </w:pPr>
            <w:r>
              <w:rPr>
                <w:rFonts w:eastAsia="MS Mincho"/>
              </w:rPr>
              <w:t xml:space="preserve">Semiconductor Devices      </w:t>
            </w:r>
          </w:p>
          <w:p>
            <w:r>
              <w:rPr>
                <w:rFonts w:eastAsia="MS Mincho"/>
              </w:rPr>
              <w:t xml:space="preserve">          </w:t>
            </w:r>
          </w:p>
        </w:tc>
        <w:tc>
          <w:tcPr>
            <w:tcW w:w="1097" w:type="dxa"/>
            <w:tcBorders>
              <w:top w:val="nil"/>
              <w:left w:val="nil"/>
              <w:bottom w:val="nil"/>
              <w:right w:val="nil"/>
            </w:tcBorders>
            <w:noWrap/>
          </w:tcPr>
          <w:p>
            <w:pPr>
              <w:jc w:val="center"/>
            </w:pPr>
            <w:r>
              <w:t>2</w:t>
            </w:r>
          </w:p>
        </w:tc>
        <w:tc>
          <w:tcPr>
            <w:tcW w:w="960" w:type="dxa"/>
            <w:tcBorders>
              <w:top w:val="nil"/>
              <w:left w:val="nil"/>
              <w:bottom w:val="nil"/>
              <w:right w:val="nil"/>
            </w:tcBorders>
            <w:noWrap/>
          </w:tcPr>
          <w:p>
            <w:pPr>
              <w:jc w:val="center"/>
            </w:pPr>
            <w:r>
              <w:t>3</w:t>
            </w:r>
          </w:p>
        </w:tc>
        <w:tc>
          <w:tcPr>
            <w:tcW w:w="934" w:type="dxa"/>
            <w:tcBorders>
              <w:top w:val="nil"/>
              <w:left w:val="nil"/>
              <w:bottom w:val="nil"/>
              <w:right w:val="nil"/>
            </w:tcBorders>
            <w:noWrap/>
          </w:tcPr>
          <w:p>
            <w:pPr>
              <w:jc w:val="center"/>
            </w:pPr>
            <w: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t>Elec. 103</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2940" w:type="dxa"/>
            <w:tcBorders>
              <w:top w:val="nil"/>
              <w:left w:val="nil"/>
              <w:bottom w:val="nil"/>
              <w:right w:val="nil"/>
            </w:tcBorders>
          </w:tcPr>
          <w:p>
            <w:pPr>
              <w:pStyle w:val="11"/>
              <w:tabs>
                <w:tab w:val="clear" w:pos="4320"/>
                <w:tab w:val="clear" w:pos="8640"/>
              </w:tabs>
            </w:pPr>
            <w:r>
              <w:t xml:space="preserve">Thermionic Devices and measuring Instruments </w:t>
            </w:r>
          </w:p>
        </w:tc>
        <w:tc>
          <w:tcPr>
            <w:tcW w:w="1097" w:type="dxa"/>
            <w:tcBorders>
              <w:top w:val="nil"/>
              <w:left w:val="nil"/>
              <w:bottom w:val="nil"/>
              <w:right w:val="nil"/>
            </w:tcBorders>
            <w:noWrap/>
          </w:tcPr>
          <w:p>
            <w:pPr>
              <w:jc w:val="center"/>
            </w:pPr>
            <w:r>
              <w:t>2</w:t>
            </w:r>
          </w:p>
        </w:tc>
        <w:tc>
          <w:tcPr>
            <w:tcW w:w="960" w:type="dxa"/>
            <w:tcBorders>
              <w:top w:val="nil"/>
              <w:left w:val="nil"/>
              <w:bottom w:val="nil"/>
              <w:right w:val="nil"/>
            </w:tcBorders>
            <w:noWrap/>
          </w:tcPr>
          <w:p>
            <w:pPr>
              <w:jc w:val="center"/>
            </w:pPr>
            <w:r>
              <w:t>3</w:t>
            </w:r>
          </w:p>
        </w:tc>
        <w:tc>
          <w:tcPr>
            <w:tcW w:w="934" w:type="dxa"/>
            <w:tcBorders>
              <w:top w:val="nil"/>
              <w:left w:val="nil"/>
              <w:bottom w:val="nil"/>
              <w:right w:val="nil"/>
            </w:tcBorders>
            <w:noWrap/>
          </w:tcPr>
          <w:p>
            <w:pPr>
              <w:jc w:val="center"/>
            </w:pPr>
            <w:r>
              <w:t>50</w:t>
            </w: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center"/>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r>
              <w:rPr>
                <w:rFonts w:ascii="Arial" w:hAnsi="Arial" w:cs="Arial"/>
                <w:b/>
                <w:bCs/>
                <w:szCs w:val="20"/>
              </w:rPr>
              <w:t>PRACTICAL</w:t>
            </w: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6</w:t>
            </w:r>
          </w:p>
        </w:tc>
        <w:tc>
          <w:tcPr>
            <w:tcW w:w="960" w:type="dxa"/>
            <w:tcBorders>
              <w:top w:val="nil"/>
              <w:left w:val="nil"/>
              <w:bottom w:val="nil"/>
              <w:right w:val="nil"/>
            </w:tcBorders>
            <w:noWrap/>
          </w:tcPr>
          <w:p>
            <w:pPr>
              <w:jc w:val="center"/>
              <w:rPr>
                <w:rFonts w:ascii="Arial" w:hAnsi="Arial" w:cs="Arial"/>
                <w:bCs/>
                <w:szCs w:val="20"/>
              </w:rPr>
            </w:pPr>
            <w:r>
              <w:rPr>
                <w:rFonts w:ascii="Arial" w:hAnsi="Arial" w:cs="Arial"/>
                <w:bCs/>
                <w:szCs w:val="20"/>
              </w:rPr>
              <w:t>5</w:t>
            </w:r>
          </w:p>
        </w:tc>
        <w:tc>
          <w:tcPr>
            <w:tcW w:w="934" w:type="dxa"/>
            <w:tcBorders>
              <w:top w:val="nil"/>
              <w:left w:val="nil"/>
              <w:bottom w:val="nil"/>
              <w:right w:val="nil"/>
            </w:tcBorders>
            <w:noWrap/>
          </w:tcPr>
          <w:p>
            <w:pPr>
              <w:jc w:val="center"/>
              <w:rPr>
                <w:rFonts w:ascii="Arial" w:hAnsi="Arial" w:cs="Arial"/>
                <w:b/>
                <w:bCs/>
                <w:szCs w:val="20"/>
              </w:rPr>
            </w:pPr>
            <w:r>
              <w:rPr>
                <w:rFonts w:ascii="Arial" w:hAnsi="Arial" w:cs="Arial"/>
                <w:b/>
                <w:bCs/>
                <w:szCs w:val="20"/>
              </w:rPr>
              <w:t>75</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Cs/>
                <w:szCs w:val="20"/>
              </w:rPr>
            </w:pP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right w:val="nil"/>
            </w:tcBorders>
            <w:noWrap/>
          </w:tcPr>
          <w:p>
            <w:pPr>
              <w:jc w:val="both"/>
              <w:rPr>
                <w:rFonts w:ascii="Arial" w:hAnsi="Arial" w:cs="Arial"/>
                <w:bCs/>
                <w:szCs w:val="20"/>
              </w:rPr>
            </w:pPr>
          </w:p>
        </w:tc>
        <w:tc>
          <w:tcPr>
            <w:tcW w:w="934" w:type="dxa"/>
            <w:tcBorders>
              <w:top w:val="nil"/>
              <w:left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
                <w:bCs/>
                <w:szCs w:val="20"/>
              </w:rPr>
            </w:pPr>
            <w:r>
              <w:rPr>
                <w:rFonts w:ascii="Arial" w:hAnsi="Arial" w:cs="Arial"/>
                <w:b/>
                <w:bCs/>
                <w:szCs w:val="20"/>
              </w:rPr>
              <w:t>Total</w:t>
            </w:r>
          </w:p>
        </w:tc>
        <w:tc>
          <w:tcPr>
            <w:tcW w:w="1097" w:type="dxa"/>
            <w:tcBorders>
              <w:top w:val="nil"/>
              <w:left w:val="nil"/>
              <w:right w:val="nil"/>
            </w:tcBorders>
            <w:noWrap/>
          </w:tcPr>
          <w:p>
            <w:pPr>
              <w:jc w:val="both"/>
              <w:rPr>
                <w:rFonts w:ascii="Arial" w:hAnsi="Arial" w:cs="Arial"/>
                <w:b/>
                <w:bCs/>
                <w:szCs w:val="20"/>
              </w:rPr>
            </w:pPr>
          </w:p>
        </w:tc>
        <w:tc>
          <w:tcPr>
            <w:tcW w:w="960" w:type="dxa"/>
            <w:tcBorders>
              <w:top w:val="nil"/>
              <w:left w:val="nil"/>
              <w:right w:val="nil"/>
            </w:tcBorders>
            <w:noWrap/>
          </w:tcPr>
          <w:p>
            <w:pPr>
              <w:jc w:val="both"/>
              <w:rPr>
                <w:rFonts w:ascii="Arial" w:hAnsi="Arial" w:cs="Arial"/>
                <w:b/>
                <w:bCs/>
                <w:szCs w:val="20"/>
              </w:rPr>
            </w:pPr>
          </w:p>
        </w:tc>
        <w:tc>
          <w:tcPr>
            <w:tcW w:w="934" w:type="dxa"/>
            <w:tcBorders>
              <w:top w:val="nil"/>
              <w:left w:val="nil"/>
              <w:right w:val="nil"/>
            </w:tcBorders>
            <w:noWrap/>
          </w:tcPr>
          <w:p>
            <w:pPr>
              <w:jc w:val="both"/>
              <w:rPr>
                <w:rFonts w:ascii="Arial" w:hAnsi="Arial" w:cs="Arial"/>
                <w:b/>
                <w:bCs/>
                <w:szCs w:val="20"/>
              </w:rPr>
            </w:pPr>
            <w:r>
              <w:rPr>
                <w:rFonts w:ascii="Arial" w:hAnsi="Arial" w:cs="Arial"/>
                <w:b/>
                <w:bCs/>
                <w:szCs w:val="20"/>
              </w:rPr>
              <w:t>225</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bl>
    <w:p>
      <w:pPr>
        <w:ind w:left="180"/>
        <w:jc w:val="center"/>
        <w:rPr>
          <w:b/>
        </w:rPr>
      </w:pPr>
      <w:r>
        <w:rPr>
          <w:b/>
        </w:rPr>
        <w:t xml:space="preserve">B.Sc. Part -I </w:t>
      </w:r>
    </w:p>
    <w:p>
      <w:pPr>
        <w:ind w:left="180"/>
        <w:jc w:val="center"/>
        <w:rPr>
          <w:b/>
        </w:rPr>
      </w:pPr>
    </w:p>
    <w:p>
      <w:pPr>
        <w:ind w:left="180"/>
        <w:jc w:val="center"/>
        <w:rPr>
          <w:b/>
          <w:smallCaps/>
          <w:sz w:val="28"/>
          <w:szCs w:val="28"/>
        </w:rPr>
      </w:pPr>
      <w:r>
        <w:rPr>
          <w:b/>
          <w:smallCaps/>
          <w:sz w:val="28"/>
          <w:szCs w:val="28"/>
        </w:rPr>
        <w:t>Paper I</w:t>
      </w:r>
    </w:p>
    <w:p>
      <w:pPr>
        <w:ind w:left="180"/>
        <w:jc w:val="center"/>
        <w:rPr>
          <w:b/>
          <w:smallCaps/>
          <w:sz w:val="28"/>
          <w:szCs w:val="28"/>
        </w:rPr>
      </w:pPr>
      <w:r>
        <w:rPr>
          <w:b/>
          <w:smallCaps/>
          <w:sz w:val="28"/>
          <w:szCs w:val="28"/>
        </w:rPr>
        <w:t>Circuit elements and Networks</w:t>
      </w:r>
    </w:p>
    <w:p>
      <w:pPr>
        <w:ind w:left="180"/>
        <w:jc w:val="center"/>
      </w:pPr>
    </w:p>
    <w:p>
      <w:pPr>
        <w:pStyle w:val="15"/>
        <w:jc w:val="both"/>
      </w:pPr>
      <w:r>
        <w:t>Note:</w:t>
      </w:r>
      <w:r>
        <w:tab/>
      </w:r>
      <w:r>
        <w:t>The question paper for the examination will be divided in three parts i.e., Section – A, Section – B and Section – C.</w:t>
      </w:r>
    </w:p>
    <w:p>
      <w:pPr>
        <w:pStyle w:val="14"/>
        <w:ind w:left="720"/>
      </w:pPr>
      <w:r>
        <w:rPr>
          <w:b/>
        </w:rPr>
        <w:t>Section – A:</w:t>
      </w:r>
      <w:r>
        <w:t xml:space="preserve"> Will consist of 10 compulsory questions. There will be two questions from each unit and answer of each question shall be limited upto 30 words. Each question will carry 1 mark.</w:t>
      </w:r>
    </w:p>
    <w:p>
      <w:pPr>
        <w:pStyle w:val="14"/>
        <w:ind w:left="720"/>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4"/>
        <w:ind w:left="720"/>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ind w:left="180"/>
        <w:jc w:val="both"/>
      </w:pPr>
    </w:p>
    <w:p>
      <w:pPr>
        <w:ind w:left="180"/>
        <w:jc w:val="both"/>
      </w:pPr>
    </w:p>
    <w:p>
      <w:pPr>
        <w:ind w:left="180"/>
        <w:jc w:val="both"/>
      </w:pPr>
      <w:r>
        <w:t>U</w:t>
      </w:r>
      <w:r>
        <w:rPr>
          <w:rFonts w:eastAsia="MS Mincho"/>
          <w:smallCaps/>
        </w:rPr>
        <w:t>nit</w:t>
      </w:r>
      <w:r>
        <w:t xml:space="preserve"> 1: </w:t>
      </w:r>
    </w:p>
    <w:p>
      <w:pPr>
        <w:ind w:left="180"/>
        <w:jc w:val="both"/>
      </w:pPr>
      <w:r>
        <w:t>Circuit elements: Types of resistors and their rating, inductance, types of inductors, mutual – inductance, transformer principle, types of transformers, capacitance, types of capacitors, LR, RC and RLC circuits, phasor diagrams, series and parallel resonance circuits, Quality factor.</w:t>
      </w:r>
    </w:p>
    <w:p>
      <w:pPr>
        <w:ind w:left="180"/>
        <w:jc w:val="both"/>
      </w:pPr>
    </w:p>
    <w:p>
      <w:pPr>
        <w:ind w:left="180"/>
        <w:jc w:val="both"/>
      </w:pPr>
      <w:r>
        <w:t>U</w:t>
      </w:r>
      <w:r>
        <w:rPr>
          <w:rFonts w:eastAsia="MS Mincho"/>
          <w:smallCaps/>
        </w:rPr>
        <w:t>nit</w:t>
      </w:r>
      <w:r>
        <w:t xml:space="preserve"> 2:</w:t>
      </w:r>
    </w:p>
    <w:p>
      <w:pPr>
        <w:ind w:left="180"/>
        <w:jc w:val="both"/>
      </w:pPr>
      <w:r>
        <w:t xml:space="preserve">Networks analysis I: Kirchhoff’s Laws, superposition theorem, Thevenin’s theorem, voltage source equivalent circuit, Norton’s theorem, current source equivalent circuit, maximum power transfer theorem.  </w:t>
      </w:r>
    </w:p>
    <w:p>
      <w:pPr>
        <w:ind w:left="180"/>
        <w:jc w:val="both"/>
      </w:pPr>
    </w:p>
    <w:p>
      <w:pPr>
        <w:ind w:left="180"/>
        <w:jc w:val="both"/>
      </w:pPr>
      <w:r>
        <w:t xml:space="preserve">Unit 3: </w:t>
      </w:r>
    </w:p>
    <w:p>
      <w:pPr>
        <w:ind w:left="180"/>
        <w:jc w:val="both"/>
      </w:pPr>
      <w:r>
        <w:t xml:space="preserve">Network analysis II: Network definitions, mesh and node circuit analysis, reduction of a complicated circuit into T and </w:t>
      </w:r>
      <w:r>
        <w:rPr/>
        <w:sym w:font="Symbol" w:char="F070"/>
      </w:r>
      <w:r>
        <w:t xml:space="preserve"> equivalents, conversion  between T and </w:t>
      </w:r>
      <w:r>
        <w:rPr/>
        <w:sym w:font="Symbol" w:char="F070"/>
      </w:r>
      <w:r>
        <w:t xml:space="preserve"> configurations.</w:t>
      </w:r>
    </w:p>
    <w:p>
      <w:pPr>
        <w:ind w:left="180"/>
        <w:jc w:val="both"/>
      </w:pPr>
    </w:p>
    <w:p>
      <w:pPr>
        <w:ind w:left="180"/>
        <w:jc w:val="both"/>
      </w:pPr>
      <w:r>
        <w:t>U</w:t>
      </w:r>
      <w:r>
        <w:rPr>
          <w:rFonts w:eastAsia="MS Mincho"/>
          <w:smallCaps/>
        </w:rPr>
        <w:t>nit</w:t>
      </w:r>
      <w:r>
        <w:t xml:space="preserve"> 4: </w:t>
      </w:r>
    </w:p>
    <w:p>
      <w:pPr>
        <w:ind w:left="180"/>
        <w:jc w:val="both"/>
      </w:pPr>
      <w:r>
        <w:t>Coupled circuits: Coupled circuits and impedance transformation, inductive coupled circuits, equivalent circuits for transformer, tuned coupled circuits, two terminal pair networks, ladder network and characteristics impedance.</w:t>
      </w:r>
    </w:p>
    <w:p>
      <w:pPr>
        <w:ind w:left="180"/>
        <w:jc w:val="both"/>
      </w:pPr>
    </w:p>
    <w:p>
      <w:pPr>
        <w:ind w:left="180"/>
        <w:jc w:val="both"/>
      </w:pPr>
      <w:r>
        <w:t>U</w:t>
      </w:r>
      <w:r>
        <w:rPr>
          <w:rFonts w:eastAsia="MS Mincho"/>
          <w:smallCaps/>
        </w:rPr>
        <w:t>nit</w:t>
      </w:r>
      <w:r>
        <w:t xml:space="preserve"> 5: </w:t>
      </w:r>
    </w:p>
    <w:p>
      <w:pPr>
        <w:ind w:left="180"/>
        <w:jc w:val="both"/>
      </w:pPr>
      <w:r>
        <w:t xml:space="preserve">Filters: Characteristics impedance of symmetrical T and </w:t>
      </w:r>
      <w:r>
        <w:rPr/>
        <w:sym w:font="Symbol" w:char="F070"/>
      </w:r>
      <w:r>
        <w:t xml:space="preserve"> networks, constant – k type low, high, band pass and band elimination filters, cascading of filters, attenuators.</w:t>
      </w:r>
    </w:p>
    <w:p>
      <w:pPr>
        <w:ind w:left="180"/>
        <w:jc w:val="both"/>
      </w:pPr>
    </w:p>
    <w:p>
      <w:pPr>
        <w:ind w:left="180"/>
        <w:jc w:val="both"/>
      </w:pPr>
    </w:p>
    <w:p>
      <w:pPr>
        <w:ind w:left="180"/>
        <w:jc w:val="center"/>
        <w:rPr>
          <w:b/>
          <w:smallCaps/>
          <w:sz w:val="28"/>
          <w:szCs w:val="28"/>
        </w:rPr>
      </w:pPr>
      <w:r>
        <w:rPr>
          <w:b/>
          <w:smallCaps/>
          <w:sz w:val="28"/>
          <w:szCs w:val="28"/>
        </w:rPr>
        <w:t xml:space="preserve">Papers II  </w:t>
      </w:r>
    </w:p>
    <w:p>
      <w:pPr>
        <w:ind w:left="180"/>
        <w:jc w:val="center"/>
        <w:rPr>
          <w:b/>
          <w:smallCaps/>
          <w:sz w:val="28"/>
          <w:szCs w:val="28"/>
        </w:rPr>
      </w:pPr>
      <w:r>
        <w:rPr>
          <w:b/>
          <w:smallCaps/>
          <w:sz w:val="28"/>
          <w:szCs w:val="28"/>
        </w:rPr>
        <w:t xml:space="preserve"> Semiconductor devices </w:t>
      </w:r>
    </w:p>
    <w:p>
      <w:pPr>
        <w:ind w:left="180"/>
        <w:jc w:val="center"/>
        <w:rPr>
          <w:b/>
          <w:smallCaps/>
          <w:sz w:val="28"/>
          <w:szCs w:val="28"/>
        </w:rPr>
      </w:pPr>
    </w:p>
    <w:p>
      <w:pPr>
        <w:pStyle w:val="15"/>
        <w:jc w:val="both"/>
      </w:pPr>
      <w:r>
        <w:t>Note: The question paper for the examination will be divided in three parts i.e., Section – A, Section – B and Section – C.</w:t>
      </w:r>
    </w:p>
    <w:p>
      <w:pPr>
        <w:pStyle w:val="14"/>
        <w:ind w:left="720"/>
      </w:pPr>
      <w:r>
        <w:rPr>
          <w:b/>
        </w:rPr>
        <w:t>Section – A:</w:t>
      </w:r>
      <w:r>
        <w:t xml:space="preserve"> Will consist of 10 compulsory questions. There will be two questions from each unit and answer of each question shall be limited upto 30 words. Each question will carry 1 mark.</w:t>
      </w:r>
    </w:p>
    <w:p>
      <w:pPr>
        <w:pStyle w:val="14"/>
        <w:ind w:left="720"/>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4"/>
        <w:ind w:left="720"/>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8"/>
        <w:ind w:left="180" w:right="0"/>
        <w:rPr>
          <w:rFonts w:eastAsia="MS Mincho"/>
        </w:rPr>
      </w:pPr>
      <w:r>
        <w:t xml:space="preserve"> </w:t>
      </w:r>
    </w:p>
    <w:p>
      <w:pPr>
        <w:pStyle w:val="13"/>
        <w:ind w:left="180"/>
        <w:jc w:val="both"/>
        <w:rPr>
          <w:rFonts w:ascii="Times New Roman" w:hAnsi="Times New Roman" w:eastAsia="MS Mincho"/>
          <w:sz w:val="24"/>
        </w:rPr>
      </w:pPr>
      <w:r>
        <w:rPr>
          <w:rFonts w:ascii="Times New Roman" w:hAnsi="Times New Roman" w:eastAsia="MS Mincho"/>
          <w:sz w:val="24"/>
        </w:rPr>
        <w:t>U</w:t>
      </w:r>
      <w:r>
        <w:rPr>
          <w:rFonts w:ascii="Times New Roman" w:hAnsi="Times New Roman" w:eastAsia="MS Mincho"/>
          <w:smallCaps/>
          <w:sz w:val="24"/>
        </w:rPr>
        <w:t>nit</w:t>
      </w:r>
      <w:r>
        <w:rPr>
          <w:rFonts w:ascii="Times New Roman" w:hAnsi="Times New Roman" w:eastAsia="MS Mincho"/>
          <w:sz w:val="24"/>
        </w:rPr>
        <w:t xml:space="preserve"> 1: </w:t>
      </w:r>
    </w:p>
    <w:p>
      <w:pPr>
        <w:pStyle w:val="13"/>
        <w:ind w:left="180"/>
        <w:jc w:val="both"/>
        <w:rPr>
          <w:rFonts w:ascii="Times New Roman" w:hAnsi="Times New Roman" w:eastAsia="MS Mincho"/>
          <w:sz w:val="24"/>
        </w:rPr>
      </w:pPr>
      <w:r>
        <w:rPr>
          <w:rFonts w:ascii="Times New Roman" w:hAnsi="Times New Roman" w:eastAsia="MS Mincho"/>
          <w:sz w:val="24"/>
        </w:rPr>
        <w:t>Semiconductors: Energy bands  in  metals, insulators and semiconductors , intrinsic semiconductors, mobility and conductivity, extrinsic semiconductors - n type and p type, carrier concentration, conductivity, Fermi levels, Hall effect, generation and recombination of carriers,  life time, photoconductivity,  diffusion, continuity equation.</w:t>
      </w:r>
    </w:p>
    <w:p>
      <w:pPr>
        <w:ind w:left="180"/>
        <w:jc w:val="both"/>
      </w:pPr>
      <w:r>
        <w:t xml:space="preserve"> </w:t>
      </w:r>
    </w:p>
    <w:p>
      <w:pPr>
        <w:ind w:left="180"/>
        <w:jc w:val="both"/>
      </w:pPr>
    </w:p>
    <w:p>
      <w:pPr>
        <w:ind w:left="180"/>
        <w:jc w:val="both"/>
      </w:pPr>
    </w:p>
    <w:p>
      <w:pPr>
        <w:pStyle w:val="13"/>
        <w:ind w:left="180"/>
        <w:jc w:val="both"/>
        <w:rPr>
          <w:rFonts w:ascii="Times New Roman" w:hAnsi="Times New Roman" w:eastAsia="MS Mincho"/>
          <w:sz w:val="24"/>
        </w:rPr>
      </w:pPr>
      <w:r>
        <w:rPr>
          <w:rFonts w:ascii="Times New Roman" w:hAnsi="Times New Roman" w:eastAsia="MS Mincho"/>
          <w:sz w:val="24"/>
        </w:rPr>
        <w:t>U</w:t>
      </w:r>
      <w:r>
        <w:rPr>
          <w:rFonts w:ascii="Times New Roman" w:hAnsi="Times New Roman" w:eastAsia="MS Mincho"/>
          <w:smallCaps/>
          <w:sz w:val="24"/>
        </w:rPr>
        <w:t>nit</w:t>
      </w:r>
      <w:r>
        <w:rPr>
          <w:rFonts w:ascii="Times New Roman" w:hAnsi="Times New Roman" w:eastAsia="MS Mincho"/>
          <w:sz w:val="24"/>
        </w:rPr>
        <w:t xml:space="preserve"> 2:  </w:t>
      </w:r>
    </w:p>
    <w:p>
      <w:pPr>
        <w:pStyle w:val="13"/>
        <w:ind w:left="180"/>
        <w:jc w:val="both"/>
        <w:rPr>
          <w:rFonts w:ascii="Times New Roman" w:hAnsi="Times New Roman"/>
          <w:sz w:val="24"/>
          <w:szCs w:val="24"/>
        </w:rPr>
      </w:pPr>
      <w:r>
        <w:rPr>
          <w:rFonts w:ascii="Times New Roman" w:hAnsi="Times New Roman" w:eastAsia="MS Mincho"/>
          <w:sz w:val="24"/>
          <w:szCs w:val="24"/>
        </w:rPr>
        <w:t>Semiconductor diodes :</w:t>
      </w:r>
      <w:r>
        <w:rPr>
          <w:rFonts w:ascii="Times New Roman" w:hAnsi="Times New Roman"/>
          <w:sz w:val="24"/>
          <w:szCs w:val="24"/>
        </w:rPr>
        <w:t>Space charge region and potential barrier,  Current -  voltage  equation, forward and reverse bias characteristics, d.c. and a.c resistance, Space Charge  and diffusion capacitances, varactor diode, Zener diode, tunnel diode and their   characteristics, metal- semiconductor contact</w:t>
      </w:r>
    </w:p>
    <w:p>
      <w:pPr>
        <w:pStyle w:val="13"/>
        <w:ind w:left="180"/>
        <w:jc w:val="both"/>
        <w:rPr>
          <w:rFonts w:ascii="Times New Roman" w:hAnsi="Times New Roman" w:eastAsia="MS Mincho"/>
          <w:sz w:val="24"/>
        </w:rPr>
      </w:pPr>
    </w:p>
    <w:p>
      <w:pPr>
        <w:pStyle w:val="13"/>
        <w:ind w:left="180"/>
        <w:jc w:val="both"/>
        <w:rPr>
          <w:rFonts w:ascii="Times New Roman" w:hAnsi="Times New Roman" w:eastAsia="MS Mincho"/>
          <w:sz w:val="24"/>
        </w:rPr>
      </w:pPr>
      <w:r>
        <w:rPr>
          <w:rFonts w:ascii="Times New Roman" w:hAnsi="Times New Roman" w:eastAsia="MS Mincho"/>
          <w:sz w:val="24"/>
        </w:rPr>
        <w:t>U</w:t>
      </w:r>
      <w:r>
        <w:rPr>
          <w:rFonts w:ascii="Times New Roman" w:hAnsi="Times New Roman" w:eastAsia="MS Mincho"/>
          <w:smallCaps/>
          <w:sz w:val="24"/>
        </w:rPr>
        <w:t>nit</w:t>
      </w:r>
      <w:r>
        <w:rPr>
          <w:rFonts w:ascii="Times New Roman" w:hAnsi="Times New Roman" w:eastAsia="MS Mincho"/>
          <w:sz w:val="24"/>
        </w:rPr>
        <w:t xml:space="preserve"> 3:  </w:t>
      </w:r>
    </w:p>
    <w:p>
      <w:pPr>
        <w:pStyle w:val="13"/>
        <w:ind w:left="180"/>
        <w:jc w:val="both"/>
        <w:rPr>
          <w:rFonts w:ascii="Times New Roman" w:hAnsi="Times New Roman" w:eastAsia="MS Mincho"/>
          <w:sz w:val="24"/>
        </w:rPr>
      </w:pPr>
      <w:r>
        <w:rPr>
          <w:rFonts w:ascii="Times New Roman" w:hAnsi="Times New Roman" w:eastAsia="MS Mincho"/>
          <w:sz w:val="24"/>
        </w:rPr>
        <w:t xml:space="preserve">Transistor characteristics: Bipolar junction transistors, NPN and PNP transistors and their characteristics in CB, CE and CC configurations, </w:t>
      </w:r>
      <w:r>
        <w:rPr>
          <w:rFonts w:ascii="Times New Roman" w:hAnsi="Times New Roman" w:eastAsia="MS Mincho"/>
          <w:sz w:val="24"/>
        </w:rPr>
        <w:sym w:font="Symbol" w:char="F061"/>
      </w:r>
      <w:r>
        <w:rPr>
          <w:rFonts w:ascii="Times New Roman" w:hAnsi="Times New Roman" w:eastAsia="MS Mincho"/>
          <w:sz w:val="24"/>
        </w:rPr>
        <w:t xml:space="preserve">, </w:t>
      </w:r>
      <w:r>
        <w:rPr>
          <w:rFonts w:ascii="Times New Roman" w:hAnsi="Times New Roman" w:eastAsia="MS Mincho"/>
          <w:sz w:val="24"/>
        </w:rPr>
        <w:sym w:font="Symbol" w:char="F062"/>
      </w:r>
      <w:r>
        <w:rPr>
          <w:rFonts w:ascii="Times New Roman" w:hAnsi="Times New Roman" w:eastAsia="MS Mincho"/>
          <w:sz w:val="24"/>
        </w:rPr>
        <w:t xml:space="preserve"> and hybrid parameters, simple CE amplifier and its graphical analysis, fabrication of IC components. </w:t>
      </w:r>
    </w:p>
    <w:p>
      <w:pPr>
        <w:pStyle w:val="13"/>
        <w:ind w:left="180"/>
        <w:jc w:val="both"/>
        <w:rPr>
          <w:rFonts w:ascii="Times New Roman" w:hAnsi="Times New Roman" w:eastAsia="MS Mincho"/>
          <w:sz w:val="24"/>
        </w:rPr>
      </w:pPr>
      <w:r>
        <w:rPr>
          <w:rFonts w:ascii="Times New Roman" w:hAnsi="Times New Roman" w:eastAsia="MS Mincho"/>
          <w:sz w:val="24"/>
        </w:rPr>
        <w:t xml:space="preserve"> </w:t>
      </w:r>
    </w:p>
    <w:p>
      <w:pPr>
        <w:ind w:left="180"/>
        <w:jc w:val="both"/>
      </w:pPr>
      <w:r>
        <w:t>U</w:t>
      </w:r>
      <w:r>
        <w:rPr>
          <w:rFonts w:eastAsia="MS Mincho"/>
          <w:smallCaps/>
        </w:rPr>
        <w:t>nit</w:t>
      </w:r>
      <w:r>
        <w:t xml:space="preserve"> 4:  </w:t>
      </w:r>
    </w:p>
    <w:p>
      <w:pPr>
        <w:ind w:left="180"/>
        <w:jc w:val="both"/>
      </w:pPr>
      <w:r>
        <w:t xml:space="preserve">Field effect transistors: </w:t>
      </w:r>
      <w:r>
        <w:rPr>
          <w:rFonts w:eastAsia="MS Mincho"/>
        </w:rPr>
        <w:t>Junction field effect transistors (JFET) and MOSFET and their characteristics, comparison between p channel and n channel MOSFET, Comparison between BJT and FETs, Silicon controlled rectifier (SCR), Diac, Triac and UJT and their characteristics.</w:t>
      </w:r>
    </w:p>
    <w:p>
      <w:pPr>
        <w:pStyle w:val="13"/>
        <w:ind w:left="180"/>
        <w:jc w:val="both"/>
        <w:rPr>
          <w:rFonts w:ascii="Times New Roman" w:hAnsi="Times New Roman" w:eastAsia="MS Mincho"/>
          <w:sz w:val="24"/>
        </w:rPr>
      </w:pPr>
    </w:p>
    <w:p>
      <w:pPr>
        <w:pStyle w:val="13"/>
        <w:ind w:left="180"/>
        <w:jc w:val="both"/>
        <w:rPr>
          <w:rFonts w:ascii="Times New Roman" w:hAnsi="Times New Roman" w:eastAsia="MS Mincho"/>
          <w:sz w:val="24"/>
        </w:rPr>
      </w:pPr>
      <w:r>
        <w:rPr>
          <w:rFonts w:ascii="Times New Roman" w:hAnsi="Times New Roman" w:eastAsia="MS Mincho"/>
          <w:sz w:val="24"/>
        </w:rPr>
        <w:t>U</w:t>
      </w:r>
      <w:r>
        <w:rPr>
          <w:rFonts w:ascii="Times New Roman" w:hAnsi="Times New Roman" w:eastAsia="MS Mincho"/>
          <w:smallCaps/>
          <w:sz w:val="24"/>
        </w:rPr>
        <w:t>nit</w:t>
      </w:r>
      <w:r>
        <w:rPr>
          <w:rFonts w:ascii="Times New Roman" w:hAnsi="Times New Roman" w:eastAsia="MS Mincho"/>
          <w:sz w:val="24"/>
        </w:rPr>
        <w:t xml:space="preserve"> 5:  </w:t>
      </w:r>
    </w:p>
    <w:p>
      <w:pPr>
        <w:pStyle w:val="13"/>
        <w:ind w:left="180"/>
        <w:jc w:val="both"/>
        <w:rPr>
          <w:rFonts w:ascii="Times New Roman" w:hAnsi="Times New Roman" w:eastAsia="MS Mincho"/>
          <w:sz w:val="24"/>
        </w:rPr>
      </w:pPr>
      <w:r>
        <w:rPr>
          <w:rFonts w:ascii="Times New Roman" w:hAnsi="Times New Roman" w:eastAsia="MS Mincho"/>
          <w:sz w:val="24"/>
        </w:rPr>
        <w:t xml:space="preserve">Optoelectronics devices : Photoconductivity cells, PN photodiodes, PIN photodiodes, Avalanche photodiode, simple applications of photodiodes, optocoupler, photovoltaic effect,  solar cell, LED  and Phototransistors, basic concept of laser, semiconductor lasers and LCD. </w:t>
      </w:r>
    </w:p>
    <w:p>
      <w:pPr>
        <w:pStyle w:val="13"/>
        <w:ind w:left="180"/>
        <w:jc w:val="both"/>
        <w:rPr>
          <w:rFonts w:ascii="Times New Roman" w:hAnsi="Times New Roman" w:eastAsia="MS Mincho"/>
          <w:sz w:val="24"/>
        </w:rPr>
      </w:pPr>
    </w:p>
    <w:p>
      <w:pPr>
        <w:ind w:left="180"/>
        <w:jc w:val="both"/>
      </w:pPr>
    </w:p>
    <w:p>
      <w:pPr>
        <w:ind w:left="180"/>
        <w:jc w:val="center"/>
        <w:rPr>
          <w:b/>
          <w:smallCaps/>
          <w:sz w:val="28"/>
          <w:szCs w:val="28"/>
        </w:rPr>
      </w:pPr>
      <w:r>
        <w:rPr>
          <w:b/>
          <w:smallCaps/>
          <w:sz w:val="28"/>
          <w:szCs w:val="28"/>
        </w:rPr>
        <w:t xml:space="preserve">Papers III  </w:t>
      </w:r>
    </w:p>
    <w:p>
      <w:pPr>
        <w:ind w:left="180"/>
        <w:jc w:val="center"/>
        <w:rPr>
          <w:b/>
          <w:smallCaps/>
          <w:sz w:val="28"/>
          <w:szCs w:val="28"/>
        </w:rPr>
      </w:pPr>
      <w:r>
        <w:rPr>
          <w:b/>
          <w:smallCaps/>
          <w:sz w:val="28"/>
          <w:szCs w:val="28"/>
        </w:rPr>
        <w:t>Thermionic Devices and measuring Instruments</w:t>
      </w:r>
    </w:p>
    <w:p>
      <w:pPr>
        <w:ind w:left="180"/>
        <w:jc w:val="both"/>
      </w:pPr>
    </w:p>
    <w:p>
      <w:pPr>
        <w:pStyle w:val="15"/>
        <w:jc w:val="both"/>
      </w:pPr>
      <w:r>
        <w:t>Note: The question paper for the examination will be divided in three parts i.e., Section – A, Section – B and Section – C.</w:t>
      </w:r>
    </w:p>
    <w:p>
      <w:pPr>
        <w:pStyle w:val="14"/>
        <w:ind w:left="720"/>
      </w:pPr>
      <w:r>
        <w:rPr>
          <w:b/>
        </w:rPr>
        <w:t>Section – A:</w:t>
      </w:r>
      <w:r>
        <w:t xml:space="preserve"> Will consist of 10 compulsory questions. There will be two questions from each unit and answer of each question shall be limited upto 30 words. Each question will carry 1 mark.</w:t>
      </w:r>
    </w:p>
    <w:p>
      <w:pPr>
        <w:pStyle w:val="14"/>
        <w:ind w:left="720"/>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4"/>
        <w:ind w:left="720"/>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8"/>
        <w:ind w:left="180" w:right="0"/>
      </w:pPr>
      <w:r>
        <w:t xml:space="preserve"> </w:t>
      </w:r>
    </w:p>
    <w:p>
      <w:pPr>
        <w:ind w:left="180"/>
        <w:jc w:val="both"/>
      </w:pPr>
    </w:p>
    <w:p>
      <w:pPr>
        <w:ind w:left="180"/>
        <w:jc w:val="both"/>
      </w:pPr>
      <w:r>
        <w:t>U</w:t>
      </w:r>
      <w:r>
        <w:rPr>
          <w:rFonts w:eastAsia="MS Mincho"/>
          <w:smallCaps/>
        </w:rPr>
        <w:t>nit</w:t>
      </w:r>
      <w:r>
        <w:t xml:space="preserve"> 1: </w:t>
      </w:r>
    </w:p>
    <w:p>
      <w:pPr>
        <w:ind w:left="180"/>
        <w:jc w:val="both"/>
      </w:pPr>
      <w:r>
        <w:t>Thermionic emissions: types of cathode materials, vacuum diode and its characteristics, space charge, triode and its characteristics and parameters, tetrode, pentode and their characteristics, V-R tubes and thyratron.</w:t>
      </w:r>
    </w:p>
    <w:p>
      <w:pPr>
        <w:ind w:left="180"/>
        <w:jc w:val="both"/>
      </w:pPr>
    </w:p>
    <w:p>
      <w:pPr>
        <w:ind w:left="180"/>
        <w:jc w:val="both"/>
      </w:pPr>
    </w:p>
    <w:p>
      <w:pPr>
        <w:ind w:left="180"/>
        <w:jc w:val="both"/>
      </w:pPr>
      <w:r>
        <w:t>U</w:t>
      </w:r>
      <w:r>
        <w:rPr>
          <w:rFonts w:eastAsia="MS Mincho"/>
          <w:smallCaps/>
        </w:rPr>
        <w:t>nit</w:t>
      </w:r>
      <w:r>
        <w:t xml:space="preserve"> 2:</w:t>
      </w:r>
    </w:p>
    <w:p>
      <w:pPr>
        <w:ind w:left="180"/>
        <w:jc w:val="both"/>
      </w:pPr>
      <w:r>
        <w:t>Cathode ray oscilloscope: Construction of CRT, deflection sensitivity of tube, block diagram of CRO, various controls and their operation, details of X and Y sections, horizontal sweep section, synchronization of sweep, triggered sweep, measurement of voltage, current, frequency and phase angle using CRO, basic idea about dual trace CRO.</w:t>
      </w:r>
    </w:p>
    <w:p>
      <w:pPr>
        <w:ind w:left="180"/>
        <w:jc w:val="both"/>
      </w:pPr>
    </w:p>
    <w:p>
      <w:pPr>
        <w:ind w:left="180"/>
        <w:jc w:val="both"/>
      </w:pPr>
      <w:r>
        <w:t>U</w:t>
      </w:r>
      <w:r>
        <w:rPr>
          <w:rFonts w:eastAsia="MS Mincho"/>
          <w:smallCaps/>
        </w:rPr>
        <w:t>nit</w:t>
      </w:r>
      <w:r>
        <w:t xml:space="preserve"> 3:</w:t>
      </w:r>
    </w:p>
    <w:p>
      <w:pPr>
        <w:ind w:left="180"/>
        <w:jc w:val="both"/>
      </w:pPr>
      <w:r>
        <w:t xml:space="preserve">Power supplies: Half wave and full wave rectification, voltage regulation. Ripple factor, use of inductor, capacitor, L and </w:t>
      </w:r>
      <w:r>
        <w:rPr/>
        <w:sym w:font="Symbol" w:char="F070"/>
      </w:r>
      <w:r>
        <w:t xml:space="preserve">  type filters, voltage regulation circuit using zener diode</w:t>
      </w:r>
    </w:p>
    <w:p>
      <w:pPr>
        <w:ind w:left="180"/>
        <w:jc w:val="both"/>
      </w:pPr>
    </w:p>
    <w:p>
      <w:pPr>
        <w:ind w:left="180"/>
        <w:jc w:val="both"/>
      </w:pPr>
      <w:r>
        <w:t>U</w:t>
      </w:r>
      <w:r>
        <w:rPr>
          <w:rFonts w:eastAsia="MS Mincho"/>
          <w:smallCaps/>
        </w:rPr>
        <w:t>nit</w:t>
      </w:r>
      <w:r>
        <w:t xml:space="preserve"> 4: </w:t>
      </w:r>
    </w:p>
    <w:p>
      <w:pPr>
        <w:ind w:left="180"/>
        <w:jc w:val="both"/>
      </w:pPr>
      <w:r>
        <w:t>Measuring instruments I: D’ Arsonval galvanometer, galvanometer sensitivity, D.C. ammeter, voltmeter, voltmeter sensitivity, d.c. multimeter rectifier type instruments, electrodynamometer, wattmeter, transducers: variable resistance, piezoelectric and pyroelectric transducers</w:t>
      </w:r>
    </w:p>
    <w:p>
      <w:pPr>
        <w:ind w:left="180"/>
        <w:jc w:val="both"/>
      </w:pPr>
    </w:p>
    <w:p>
      <w:pPr>
        <w:ind w:left="180"/>
        <w:jc w:val="both"/>
      </w:pPr>
      <w:r>
        <w:t>U</w:t>
      </w:r>
      <w:r>
        <w:rPr>
          <w:rFonts w:eastAsia="MS Mincho"/>
          <w:smallCaps/>
        </w:rPr>
        <w:t>nit</w:t>
      </w:r>
      <w:r>
        <w:t xml:space="preserve"> 5: </w:t>
      </w:r>
    </w:p>
    <w:p>
      <w:pPr>
        <w:ind w:left="180"/>
        <w:jc w:val="both"/>
      </w:pPr>
      <w:r>
        <w:t>Measuring instruments II: A.C. bridge, balance conditions, Comparison bridges, Maxwell bridge, Hay bridge, Schering bridge, Wien bridge, impedance bridges, Q- meter</w:t>
      </w:r>
    </w:p>
    <w:p>
      <w:pPr>
        <w:ind w:left="180"/>
        <w:jc w:val="both"/>
      </w:pPr>
    </w:p>
    <w:p>
      <w:pPr>
        <w:ind w:left="180"/>
        <w:jc w:val="both"/>
        <w:rPr>
          <w:b/>
        </w:rPr>
      </w:pPr>
      <w:r>
        <w:rPr>
          <w:b/>
        </w:rPr>
        <w:t>Books Suggested :</w:t>
      </w:r>
    </w:p>
    <w:p>
      <w:pPr>
        <w:ind w:left="180"/>
        <w:jc w:val="both"/>
        <w:rPr>
          <w:b/>
        </w:rPr>
      </w:pPr>
    </w:p>
    <w:p>
      <w:pPr>
        <w:ind w:left="180"/>
        <w:jc w:val="both"/>
      </w:pPr>
      <w:r>
        <w:t>Millman &amp; Halkias: Integrated Electronics (TMH)</w:t>
      </w:r>
    </w:p>
    <w:p>
      <w:pPr>
        <w:ind w:left="180"/>
        <w:jc w:val="both"/>
      </w:pPr>
      <w:r>
        <w:t>Grob: Basic Electronics Mcgraw Hill 1985</w:t>
      </w:r>
    </w:p>
    <w:p>
      <w:pPr>
        <w:ind w:left="180"/>
        <w:jc w:val="both"/>
      </w:pPr>
      <w:r>
        <w:t xml:space="preserve">Mottershead: Electronics, Devices and Circuits PHI, 1984 </w:t>
      </w:r>
    </w:p>
    <w:p>
      <w:pPr>
        <w:ind w:left="180"/>
        <w:jc w:val="both"/>
      </w:pPr>
      <w:r>
        <w:t xml:space="preserve">Ryder: Networks, Lines and Fields PHI 1983 </w:t>
      </w:r>
    </w:p>
    <w:p>
      <w:pPr>
        <w:ind w:left="180"/>
        <w:jc w:val="both"/>
      </w:pPr>
      <w:r>
        <w:t xml:space="preserve">Helfrick &amp; Cooper: Modern Electronic Instrumentation &amp; Measurement Techniques, PHI. </w:t>
      </w:r>
    </w:p>
    <w:p>
      <w:pPr>
        <w:ind w:left="180"/>
        <w:jc w:val="both"/>
      </w:pPr>
    </w:p>
    <w:p>
      <w:pPr>
        <w:ind w:left="180"/>
        <w:jc w:val="center"/>
        <w:rPr>
          <w:b/>
          <w:smallCaps/>
          <w:sz w:val="28"/>
          <w:szCs w:val="28"/>
        </w:rPr>
      </w:pPr>
      <w:r>
        <w:rPr>
          <w:b/>
          <w:smallCaps/>
          <w:sz w:val="28"/>
          <w:szCs w:val="28"/>
        </w:rPr>
        <w:br w:type="page"/>
      </w:r>
      <w:r>
        <w:rPr>
          <w:b/>
          <w:smallCaps/>
          <w:sz w:val="28"/>
          <w:szCs w:val="28"/>
        </w:rPr>
        <w:t>Experimentsfor Practical work</w:t>
      </w:r>
    </w:p>
    <w:p>
      <w:pPr>
        <w:ind w:left="180"/>
        <w:jc w:val="center"/>
        <w:rPr>
          <w:b/>
          <w:smallCaps/>
          <w:sz w:val="28"/>
          <w:szCs w:val="28"/>
        </w:rPr>
      </w:pPr>
    </w:p>
    <w:p>
      <w:pPr>
        <w:numPr>
          <w:ilvl w:val="0"/>
          <w:numId w:val="2"/>
        </w:numPr>
        <w:ind w:left="180" w:firstLine="360"/>
        <w:jc w:val="both"/>
      </w:pPr>
      <w:r>
        <w:t>Design and study of constant voltage source</w:t>
      </w:r>
    </w:p>
    <w:p>
      <w:pPr>
        <w:numPr>
          <w:ilvl w:val="0"/>
          <w:numId w:val="2"/>
        </w:numPr>
        <w:ind w:left="180" w:firstLine="360"/>
        <w:jc w:val="both"/>
      </w:pPr>
      <w:r>
        <w:t>Design and study of constant current  source</w:t>
      </w:r>
    </w:p>
    <w:p>
      <w:pPr>
        <w:numPr>
          <w:ilvl w:val="0"/>
          <w:numId w:val="2"/>
        </w:numPr>
        <w:ind w:left="1134" w:hanging="594"/>
        <w:jc w:val="both"/>
        <w:rPr>
          <w:rFonts w:eastAsia="MS Mincho"/>
        </w:rPr>
      </w:pPr>
      <w:r>
        <w:t xml:space="preserve">Study of voltage, frequency of the waves and </w:t>
      </w:r>
      <w:r>
        <w:rPr>
          <w:rFonts w:eastAsia="MS Mincho"/>
        </w:rPr>
        <w:t xml:space="preserve">phase angles of RC circuits using CRO. </w:t>
      </w:r>
    </w:p>
    <w:p>
      <w:pPr>
        <w:numPr>
          <w:ilvl w:val="0"/>
          <w:numId w:val="2"/>
        </w:numPr>
        <w:ind w:left="180" w:firstLine="360"/>
        <w:jc w:val="both"/>
      </w:pPr>
      <w:r>
        <w:t>Measurement of impedance by impedance bridge</w:t>
      </w:r>
    </w:p>
    <w:p>
      <w:pPr>
        <w:numPr>
          <w:ilvl w:val="0"/>
          <w:numId w:val="2"/>
        </w:numPr>
        <w:ind w:left="180" w:firstLine="360"/>
        <w:jc w:val="both"/>
      </w:pPr>
      <w:r>
        <w:t>Study of frequency response of  series LCR resonance circuit</w:t>
      </w:r>
    </w:p>
    <w:p>
      <w:pPr>
        <w:numPr>
          <w:ilvl w:val="0"/>
          <w:numId w:val="2"/>
        </w:numPr>
        <w:ind w:left="180" w:firstLine="360"/>
        <w:jc w:val="both"/>
      </w:pPr>
      <w:r>
        <w:t>Study of frequency of  parallel resonance circuits</w:t>
      </w:r>
    </w:p>
    <w:p>
      <w:pPr>
        <w:numPr>
          <w:ilvl w:val="0"/>
          <w:numId w:val="2"/>
        </w:numPr>
        <w:ind w:left="180" w:firstLine="360"/>
        <w:jc w:val="both"/>
        <w:rPr>
          <w:rFonts w:eastAsia="MS Mincho"/>
        </w:rPr>
      </w:pPr>
      <w:r>
        <w:t>Study the s</w:t>
      </w:r>
      <w:r>
        <w:rPr>
          <w:rFonts w:eastAsia="MS Mincho"/>
        </w:rPr>
        <w:t>emiconductor diode characteristics in forward bias condition</w:t>
      </w:r>
    </w:p>
    <w:p>
      <w:pPr>
        <w:numPr>
          <w:ilvl w:val="0"/>
          <w:numId w:val="2"/>
        </w:numPr>
        <w:ind w:left="180" w:firstLine="360"/>
        <w:jc w:val="both"/>
        <w:rPr>
          <w:rFonts w:eastAsia="MS Mincho"/>
        </w:rPr>
      </w:pPr>
      <w:r>
        <w:t xml:space="preserve">Study the </w:t>
      </w:r>
      <w:r>
        <w:rPr>
          <w:rFonts w:eastAsia="MS Mincho"/>
        </w:rPr>
        <w:t>Zener diode characteristics in reverse bias condition</w:t>
      </w:r>
    </w:p>
    <w:p>
      <w:pPr>
        <w:numPr>
          <w:ilvl w:val="0"/>
          <w:numId w:val="2"/>
        </w:numPr>
        <w:ind w:left="180" w:firstLine="360"/>
        <w:jc w:val="both"/>
        <w:rPr>
          <w:rFonts w:eastAsia="MS Mincho"/>
        </w:rPr>
      </w:pPr>
      <w:r>
        <w:t>Study the bipolar junction t</w:t>
      </w:r>
      <w:r>
        <w:rPr>
          <w:rFonts w:eastAsia="MS Mincho"/>
        </w:rPr>
        <w:t xml:space="preserve">ransistor(BJT) characteristics in CB  mode </w:t>
      </w:r>
    </w:p>
    <w:p>
      <w:pPr>
        <w:numPr>
          <w:ilvl w:val="0"/>
          <w:numId w:val="2"/>
        </w:numPr>
        <w:ind w:left="180" w:firstLine="360"/>
        <w:jc w:val="both"/>
        <w:rPr>
          <w:rFonts w:eastAsia="MS Mincho"/>
        </w:rPr>
      </w:pPr>
      <w:r>
        <w:t>Study the bipolar junction t</w:t>
      </w:r>
      <w:r>
        <w:rPr>
          <w:rFonts w:eastAsia="MS Mincho"/>
        </w:rPr>
        <w:t xml:space="preserve">ransistor(BJT) characteristics in CE  mode </w:t>
      </w:r>
    </w:p>
    <w:p>
      <w:pPr>
        <w:numPr>
          <w:ilvl w:val="0"/>
          <w:numId w:val="2"/>
        </w:numPr>
        <w:ind w:left="180" w:firstLine="360"/>
        <w:jc w:val="both"/>
        <w:rPr>
          <w:rFonts w:eastAsia="MS Mincho"/>
        </w:rPr>
      </w:pPr>
      <w:r>
        <w:t xml:space="preserve">Study the </w:t>
      </w:r>
      <w:r>
        <w:rPr>
          <w:rFonts w:eastAsia="MS Mincho"/>
        </w:rPr>
        <w:t>FET Characteristics</w:t>
      </w:r>
    </w:p>
    <w:p>
      <w:pPr>
        <w:numPr>
          <w:ilvl w:val="0"/>
          <w:numId w:val="2"/>
        </w:numPr>
        <w:ind w:left="180" w:firstLine="360"/>
        <w:jc w:val="both"/>
        <w:rPr>
          <w:rFonts w:eastAsia="MS Mincho"/>
        </w:rPr>
      </w:pPr>
      <w:r>
        <w:t>Study the t</w:t>
      </w:r>
      <w:r>
        <w:rPr>
          <w:rFonts w:eastAsia="MS Mincho"/>
        </w:rPr>
        <w:t>riodeCharacteristics</w:t>
      </w:r>
    </w:p>
    <w:p>
      <w:pPr>
        <w:numPr>
          <w:ilvl w:val="0"/>
          <w:numId w:val="2"/>
        </w:numPr>
        <w:ind w:left="180" w:firstLine="360"/>
        <w:jc w:val="both"/>
        <w:rPr>
          <w:rFonts w:eastAsia="MS Mincho"/>
        </w:rPr>
      </w:pPr>
      <w:r>
        <w:t>Study the frequency response of s</w:t>
      </w:r>
      <w:r>
        <w:rPr>
          <w:rFonts w:eastAsia="MS Mincho"/>
        </w:rPr>
        <w:t>ingle stage BJT  amplifier</w:t>
      </w:r>
    </w:p>
    <w:p>
      <w:pPr>
        <w:numPr>
          <w:ilvl w:val="0"/>
          <w:numId w:val="2"/>
        </w:numPr>
        <w:ind w:left="180" w:firstLine="360"/>
        <w:jc w:val="both"/>
        <w:rPr>
          <w:rFonts w:eastAsia="MS Mincho"/>
        </w:rPr>
      </w:pPr>
      <w:r>
        <w:t>Study the p</w:t>
      </w:r>
      <w:r>
        <w:rPr>
          <w:rFonts w:eastAsia="MS Mincho"/>
        </w:rPr>
        <w:t>hotocell characteristics</w:t>
      </w:r>
    </w:p>
    <w:p>
      <w:pPr>
        <w:numPr>
          <w:ilvl w:val="0"/>
          <w:numId w:val="2"/>
        </w:numPr>
        <w:ind w:left="1134" w:hanging="594"/>
        <w:jc w:val="both"/>
        <w:rPr>
          <w:rFonts w:eastAsia="MS Mincho"/>
        </w:rPr>
      </w:pPr>
      <w:r>
        <w:rPr>
          <w:rFonts w:eastAsia="MS Mincho"/>
        </w:rPr>
        <w:t>To measure the of maximum power transfer from source to load using reactive (resistive)circuit</w:t>
      </w:r>
    </w:p>
    <w:p>
      <w:pPr>
        <w:numPr>
          <w:ilvl w:val="0"/>
          <w:numId w:val="2"/>
        </w:numPr>
        <w:ind w:left="180" w:firstLine="360"/>
        <w:jc w:val="both"/>
        <w:rPr>
          <w:rFonts w:eastAsia="MS Mincho"/>
        </w:rPr>
      </w:pPr>
      <w:r>
        <w:t>Study the frequency response of s</w:t>
      </w:r>
      <w:r>
        <w:rPr>
          <w:rFonts w:eastAsia="MS Mincho"/>
        </w:rPr>
        <w:t>ingle stage triode amplifier</w:t>
      </w:r>
    </w:p>
    <w:p>
      <w:pPr>
        <w:numPr>
          <w:ilvl w:val="0"/>
          <w:numId w:val="2"/>
        </w:numPr>
        <w:ind w:left="180" w:firstLine="360"/>
        <w:jc w:val="both"/>
        <w:rPr>
          <w:rFonts w:eastAsia="MS Mincho"/>
        </w:rPr>
      </w:pPr>
      <w:r>
        <w:t>Study the v</w:t>
      </w:r>
      <w:r>
        <w:rPr>
          <w:rFonts w:eastAsia="MS Mincho"/>
        </w:rPr>
        <w:t>oltage regulation by Zenerdiode</w:t>
      </w:r>
    </w:p>
    <w:p>
      <w:pPr>
        <w:numPr>
          <w:ilvl w:val="0"/>
          <w:numId w:val="2"/>
        </w:numPr>
        <w:ind w:left="180" w:firstLine="360"/>
        <w:jc w:val="both"/>
        <w:rPr>
          <w:rFonts w:eastAsia="MS Mincho"/>
        </w:rPr>
      </w:pPr>
      <w:r>
        <w:t>Study the frequency response of s</w:t>
      </w:r>
      <w:r>
        <w:rPr>
          <w:rFonts w:eastAsia="MS Mincho"/>
        </w:rPr>
        <w:t>ingle stage FET amplifier.</w:t>
      </w:r>
    </w:p>
    <w:p>
      <w:pPr>
        <w:numPr>
          <w:ilvl w:val="0"/>
          <w:numId w:val="2"/>
        </w:numPr>
        <w:ind w:left="180" w:firstLine="360"/>
        <w:jc w:val="both"/>
        <w:rPr>
          <w:rFonts w:eastAsia="MS Mincho"/>
        </w:rPr>
      </w:pPr>
      <w:r>
        <w:t>Study the</w:t>
      </w:r>
      <w:r>
        <w:rPr>
          <w:rFonts w:eastAsia="MS Mincho"/>
        </w:rPr>
        <w:t>DIAC characteristics.</w:t>
      </w:r>
    </w:p>
    <w:p>
      <w:pPr>
        <w:numPr>
          <w:ilvl w:val="0"/>
          <w:numId w:val="2"/>
        </w:numPr>
        <w:ind w:left="180" w:firstLine="360"/>
        <w:jc w:val="both"/>
        <w:rPr>
          <w:rFonts w:eastAsia="MS Mincho"/>
        </w:rPr>
      </w:pPr>
      <w:r>
        <w:t>Verify the Thevenin and Norton theorem.</w:t>
      </w:r>
    </w:p>
    <w:p>
      <w:pPr>
        <w:numPr>
          <w:ilvl w:val="0"/>
          <w:numId w:val="2"/>
        </w:numPr>
        <w:ind w:left="1134" w:hanging="594"/>
        <w:jc w:val="both"/>
        <w:rPr>
          <w:rFonts w:eastAsia="MS Mincho"/>
        </w:rPr>
      </w:pPr>
      <w:r>
        <w:t>To measure the characteristic impedance of symmetrical two-port resistive network.</w:t>
      </w:r>
    </w:p>
    <w:p>
      <w:pPr>
        <w:ind w:left="540" w:firstLine="180"/>
        <w:jc w:val="both"/>
        <w:rPr>
          <w:rFonts w:eastAsia="MS Mincho"/>
        </w:rPr>
      </w:pPr>
    </w:p>
    <w:p>
      <w:pPr>
        <w:tabs>
          <w:tab w:val="left" w:pos="1080"/>
        </w:tabs>
        <w:ind w:left="360" w:hanging="720"/>
        <w:jc w:val="both"/>
      </w:pPr>
      <w:r>
        <w:tab/>
      </w:r>
      <w:r>
        <w:tab/>
      </w:r>
    </w:p>
    <w:p>
      <w:pPr>
        <w:pStyle w:val="19"/>
        <w:jc w:val="both"/>
      </w:pPr>
    </w:p>
    <w:p>
      <w:pPr>
        <w:pStyle w:val="19"/>
        <w:jc w:val="both"/>
      </w:pPr>
      <w:r>
        <w:t>Note: - New experiments may be added on availability of equipment.</w:t>
      </w:r>
    </w:p>
    <w:p>
      <w:pPr>
        <w:ind w:left="180"/>
        <w:jc w:val="center"/>
      </w:pPr>
    </w:p>
    <w:sectPr>
      <w:headerReference r:id="rId5" w:type="first"/>
      <w:footerReference r:id="rId8" w:type="first"/>
      <w:headerReference r:id="rId3" w:type="default"/>
      <w:footerReference r:id="rId6" w:type="default"/>
      <w:headerReference r:id="rId4" w:type="even"/>
      <w:footerReference r:id="rId7" w:type="even"/>
      <w:pgSz w:w="11909" w:h="16834"/>
      <w:pgMar w:top="1440" w:right="1800" w:bottom="1440" w:left="1800" w:header="0" w:footer="57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ookman Old Style">
    <w:panose1 w:val="020506040505050202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panose1 w:val="02040503050203030202"/>
    <w:charset w:val="00"/>
    <w:family w:val="roman"/>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t>1</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B4127"/>
    <w:multiLevelType w:val="multilevel"/>
    <w:tmpl w:val="250B4127"/>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
    <w:nsid w:val="788136F4"/>
    <w:multiLevelType w:val="multilevel"/>
    <w:tmpl w:val="788136F4"/>
    <w:lvl w:ilvl="0" w:tentative="0">
      <w:start w:val="1"/>
      <w:numFmt w:val="decimal"/>
      <w:pStyle w:val="18"/>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FF7D3E"/>
    <w:rsid w:val="000013A2"/>
    <w:rsid w:val="00047365"/>
    <w:rsid w:val="0009167A"/>
    <w:rsid w:val="00094055"/>
    <w:rsid w:val="000A04CD"/>
    <w:rsid w:val="000A2FE4"/>
    <w:rsid w:val="000B29A3"/>
    <w:rsid w:val="000F246A"/>
    <w:rsid w:val="00101DA4"/>
    <w:rsid w:val="00142677"/>
    <w:rsid w:val="001A054D"/>
    <w:rsid w:val="001A5510"/>
    <w:rsid w:val="001E4723"/>
    <w:rsid w:val="0027204E"/>
    <w:rsid w:val="002821D8"/>
    <w:rsid w:val="002C03D4"/>
    <w:rsid w:val="002D72F0"/>
    <w:rsid w:val="003149FB"/>
    <w:rsid w:val="003856C9"/>
    <w:rsid w:val="0038744E"/>
    <w:rsid w:val="003A5FF4"/>
    <w:rsid w:val="00425F70"/>
    <w:rsid w:val="00436CFE"/>
    <w:rsid w:val="00456962"/>
    <w:rsid w:val="00460777"/>
    <w:rsid w:val="004963DC"/>
    <w:rsid w:val="004A583A"/>
    <w:rsid w:val="004D6C34"/>
    <w:rsid w:val="004E2C7B"/>
    <w:rsid w:val="004F09ED"/>
    <w:rsid w:val="0050128C"/>
    <w:rsid w:val="005375C3"/>
    <w:rsid w:val="005620D6"/>
    <w:rsid w:val="005E0355"/>
    <w:rsid w:val="00613FFF"/>
    <w:rsid w:val="00635ECB"/>
    <w:rsid w:val="00696EC5"/>
    <w:rsid w:val="006B1F5F"/>
    <w:rsid w:val="006B31CF"/>
    <w:rsid w:val="006D75E1"/>
    <w:rsid w:val="007446E2"/>
    <w:rsid w:val="0078140E"/>
    <w:rsid w:val="007D0C1A"/>
    <w:rsid w:val="00864CAC"/>
    <w:rsid w:val="00866C66"/>
    <w:rsid w:val="00875114"/>
    <w:rsid w:val="00894124"/>
    <w:rsid w:val="008B11D1"/>
    <w:rsid w:val="008D1D27"/>
    <w:rsid w:val="008F5FBC"/>
    <w:rsid w:val="009815BA"/>
    <w:rsid w:val="009858FA"/>
    <w:rsid w:val="009D3B36"/>
    <w:rsid w:val="00A20C9F"/>
    <w:rsid w:val="00A537FE"/>
    <w:rsid w:val="00A638E4"/>
    <w:rsid w:val="00AA7860"/>
    <w:rsid w:val="00B54434"/>
    <w:rsid w:val="00B9671B"/>
    <w:rsid w:val="00B96FF0"/>
    <w:rsid w:val="00BB0A36"/>
    <w:rsid w:val="00BF246B"/>
    <w:rsid w:val="00C102FD"/>
    <w:rsid w:val="00C20496"/>
    <w:rsid w:val="00C41659"/>
    <w:rsid w:val="00C4244E"/>
    <w:rsid w:val="00C47756"/>
    <w:rsid w:val="00C87FFC"/>
    <w:rsid w:val="00D26C2F"/>
    <w:rsid w:val="00DD06F3"/>
    <w:rsid w:val="00DE579C"/>
    <w:rsid w:val="00E55ECC"/>
    <w:rsid w:val="00E77230"/>
    <w:rsid w:val="00EB4240"/>
    <w:rsid w:val="00EE066E"/>
    <w:rsid w:val="00EF6C1A"/>
    <w:rsid w:val="00F10699"/>
    <w:rsid w:val="00FD21B9"/>
    <w:rsid w:val="00FD75B5"/>
    <w:rsid w:val="00FF7D3E"/>
    <w:rsid w:val="27D2511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hi-IN"/>
    </w:rPr>
  </w:style>
  <w:style w:type="paragraph" w:styleId="2">
    <w:name w:val="heading 1"/>
    <w:basedOn w:val="1"/>
    <w:next w:val="1"/>
    <w:qFormat/>
    <w:uiPriority w:val="0"/>
    <w:pPr>
      <w:keepNext/>
      <w:jc w:val="both"/>
      <w:outlineLvl w:val="0"/>
    </w:pPr>
    <w:rPr>
      <w:b/>
      <w:bCs/>
    </w:rPr>
  </w:style>
  <w:style w:type="paragraph" w:styleId="3">
    <w:name w:val="heading 2"/>
    <w:basedOn w:val="1"/>
    <w:next w:val="1"/>
    <w:qFormat/>
    <w:uiPriority w:val="0"/>
    <w:pPr>
      <w:keepNext/>
      <w:outlineLvl w:val="1"/>
    </w:pPr>
    <w:rPr>
      <w:b/>
      <w:bCs/>
    </w:rPr>
  </w:style>
  <w:style w:type="paragraph" w:styleId="4">
    <w:name w:val="heading 5"/>
    <w:basedOn w:val="1"/>
    <w:next w:val="1"/>
    <w:qFormat/>
    <w:uiPriority w:val="0"/>
    <w:pPr>
      <w:keepNext/>
      <w:jc w:val="center"/>
      <w:outlineLvl w:val="4"/>
    </w:pPr>
    <w:rPr>
      <w:b/>
      <w:bCs/>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0"/>
    <w:semiHidden/>
    <w:unhideWhenUsed/>
    <w:uiPriority w:val="99"/>
    <w:rPr>
      <w:rFonts w:ascii="Tahoma" w:hAnsi="Tahoma" w:cs="Mangal"/>
      <w:sz w:val="16"/>
      <w:szCs w:val="14"/>
    </w:rPr>
  </w:style>
  <w:style w:type="paragraph" w:styleId="8">
    <w:name w:val="Block Text"/>
    <w:basedOn w:val="1"/>
    <w:uiPriority w:val="0"/>
    <w:pPr>
      <w:ind w:left="360" w:right="432"/>
      <w:jc w:val="both"/>
    </w:pPr>
  </w:style>
  <w:style w:type="paragraph" w:styleId="9">
    <w:name w:val="Body Text"/>
    <w:basedOn w:val="1"/>
    <w:uiPriority w:val="0"/>
    <w:pPr>
      <w:jc w:val="both"/>
    </w:pPr>
  </w:style>
  <w:style w:type="paragraph" w:styleId="10">
    <w:name w:val="Body Text Indent"/>
    <w:basedOn w:val="1"/>
    <w:uiPriority w:val="0"/>
    <w:pPr>
      <w:ind w:left="180"/>
      <w:jc w:val="both"/>
    </w:pPr>
    <w:rPr>
      <w:rFonts w:eastAsia="MS Mincho"/>
    </w:rPr>
  </w:style>
  <w:style w:type="paragraph" w:styleId="11">
    <w:name w:val="footer"/>
    <w:basedOn w:val="1"/>
    <w:link w:val="17"/>
    <w:uiPriority w:val="99"/>
    <w:pPr>
      <w:tabs>
        <w:tab w:val="center" w:pos="4320"/>
        <w:tab w:val="right" w:pos="8640"/>
      </w:tabs>
    </w:pPr>
  </w:style>
  <w:style w:type="paragraph" w:styleId="12">
    <w:name w:val="header"/>
    <w:basedOn w:val="1"/>
    <w:link w:val="16"/>
    <w:uiPriority w:val="99"/>
    <w:pPr>
      <w:tabs>
        <w:tab w:val="center" w:pos="4320"/>
        <w:tab w:val="right" w:pos="8640"/>
      </w:tabs>
    </w:pPr>
    <w:rPr>
      <w:lang w:bidi="ar-SA"/>
    </w:rPr>
  </w:style>
  <w:style w:type="paragraph" w:styleId="13">
    <w:name w:val="Plain Text"/>
    <w:basedOn w:val="1"/>
    <w:uiPriority w:val="0"/>
    <w:rPr>
      <w:rFonts w:ascii="Courier New" w:hAnsi="Courier New"/>
      <w:sz w:val="20"/>
      <w:szCs w:val="20"/>
    </w:rPr>
  </w:style>
  <w:style w:type="paragraph" w:customStyle="1" w:styleId="14">
    <w:name w:val="Unit Text"/>
    <w:basedOn w:val="1"/>
    <w:uiPriority w:val="0"/>
    <w:pPr>
      <w:spacing w:after="120"/>
      <w:jc w:val="both"/>
    </w:pPr>
    <w:rPr>
      <w:rFonts w:ascii="Bookman Old Style" w:hAnsi="Bookman Old Style"/>
      <w:lang w:bidi="ar-SA"/>
    </w:rPr>
  </w:style>
  <w:style w:type="paragraph" w:customStyle="1" w:styleId="15">
    <w:name w:val="NoteOnUnit"/>
    <w:basedOn w:val="14"/>
    <w:next w:val="14"/>
    <w:uiPriority w:val="0"/>
    <w:pPr>
      <w:ind w:left="720" w:hanging="720"/>
      <w:jc w:val="left"/>
    </w:pPr>
    <w:rPr>
      <w:rFonts w:ascii="Arial" w:hAnsi="Arial"/>
      <w:bCs/>
    </w:rPr>
  </w:style>
  <w:style w:type="character" w:customStyle="1" w:styleId="16">
    <w:name w:val="Header Char"/>
    <w:basedOn w:val="5"/>
    <w:link w:val="12"/>
    <w:uiPriority w:val="99"/>
    <w:rPr>
      <w:sz w:val="24"/>
      <w:szCs w:val="24"/>
    </w:rPr>
  </w:style>
  <w:style w:type="character" w:customStyle="1" w:styleId="17">
    <w:name w:val="Footer Char"/>
    <w:basedOn w:val="5"/>
    <w:link w:val="11"/>
    <w:uiPriority w:val="99"/>
    <w:rPr>
      <w:sz w:val="24"/>
      <w:szCs w:val="24"/>
      <w:lang w:bidi="hi-IN"/>
    </w:rPr>
  </w:style>
  <w:style w:type="paragraph" w:customStyle="1" w:styleId="18">
    <w:name w:val="ListBook"/>
    <w:basedOn w:val="1"/>
    <w:uiPriority w:val="0"/>
    <w:pPr>
      <w:numPr>
        <w:ilvl w:val="0"/>
        <w:numId w:val="1"/>
      </w:numPr>
      <w:spacing w:after="120"/>
      <w:jc w:val="both"/>
    </w:pPr>
    <w:rPr>
      <w:lang w:bidi="ar-SA"/>
    </w:rPr>
  </w:style>
  <w:style w:type="paragraph" w:styleId="19">
    <w:name w:val="List Paragraph"/>
    <w:basedOn w:val="1"/>
    <w:qFormat/>
    <w:uiPriority w:val="34"/>
    <w:pPr>
      <w:ind w:left="720"/>
      <w:contextualSpacing/>
    </w:pPr>
    <w:rPr>
      <w:lang w:bidi="ar-SA"/>
    </w:rPr>
  </w:style>
  <w:style w:type="character" w:customStyle="1" w:styleId="20">
    <w:name w:val="Balloon Text Char"/>
    <w:basedOn w:val="5"/>
    <w:link w:val="7"/>
    <w:semiHidden/>
    <w:uiPriority w:val="99"/>
    <w:rPr>
      <w:rFonts w:ascii="Tahoma" w:hAnsi="Tahoma" w:cs="Mangal"/>
      <w:sz w:val="16"/>
      <w:szCs w:val="14"/>
      <w:lang w:val="en-US" w:eastAsia="en-US" w:bidi="hi-I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F095B-C389-45F3-9943-8541F77EC98F}">
  <ds:schemaRefs/>
</ds:datastoreItem>
</file>

<file path=docProps/app.xml><?xml version="1.0" encoding="utf-8"?>
<Properties xmlns="http://schemas.openxmlformats.org/officeDocument/2006/extended-properties" xmlns:vt="http://schemas.openxmlformats.org/officeDocument/2006/docPropsVTypes">
  <Template>Normal</Template>
  <Company>xyz</Company>
  <Pages>5</Pages>
  <Words>1247</Words>
  <Characters>7109</Characters>
  <Lines>59</Lines>
  <Paragraphs>16</Paragraphs>
  <TotalTime>0</TotalTime>
  <ScaleCrop>false</ScaleCrop>
  <LinksUpToDate>false</LinksUpToDate>
  <CharactersWithSpaces>8340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2013-05-08T03:52:00Z</dcterms:created>
  <dc:creator>SONU</dc:creator>
  <cp:lastModifiedBy>Birm Blogger</cp:lastModifiedBy>
  <cp:lastPrinted>2016-02-02T10:26:00Z</cp:lastPrinted>
  <dcterms:modified xsi:type="dcterms:W3CDTF">2021-12-12T07:04:41Z</dcterms:modified>
  <dc:title>Paper I</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1C462D0965544FACB2093ED06BDFC3F1</vt:lpwstr>
  </property>
</Properties>
</file>