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mallCaps/>
          <w:sz w:val="28"/>
          <w:szCs w:val="28"/>
        </w:rPr>
      </w:pPr>
      <w:bookmarkStart w:id="0" w:name="_GoBack"/>
      <w:bookmarkEnd w:id="0"/>
      <w:r>
        <w:rPr>
          <w:b/>
          <w:bCs/>
          <w:smallCaps/>
          <w:sz w:val="28"/>
          <w:szCs w:val="28"/>
        </w:rPr>
        <w:t>TEACHING &amp; EXAMINATION SCHEME</w:t>
      </w:r>
    </w:p>
    <w:p>
      <w:pPr>
        <w:jc w:val="center"/>
        <w:rPr>
          <w:bCs/>
          <w:smallCaps/>
          <w:szCs w:val="28"/>
        </w:rPr>
      </w:pPr>
      <w:r>
        <w:rPr>
          <w:bCs/>
        </w:rPr>
        <w:t>For the Examination – 2020</w:t>
      </w:r>
    </w:p>
    <w:p>
      <w:pPr>
        <w:jc w:val="center"/>
        <w:rPr>
          <w:bCs/>
          <w:smallCaps/>
          <w:szCs w:val="28"/>
        </w:rPr>
      </w:pPr>
      <w:r>
        <w:rPr>
          <w:bCs/>
          <w:smallCaps/>
          <w:szCs w:val="28"/>
        </w:rPr>
        <w:t>ELECTRONICS</w:t>
      </w:r>
    </w:p>
    <w:p>
      <w:pPr>
        <w:jc w:val="center"/>
      </w:pPr>
    </w:p>
    <w:tbl>
      <w:tblPr>
        <w:tblStyle w:val="6"/>
        <w:tblW w:w="8408" w:type="dxa"/>
        <w:tblInd w:w="91" w:type="dxa"/>
        <w:tblLayout w:type="autofit"/>
        <w:tblCellMar>
          <w:top w:w="0" w:type="dxa"/>
          <w:left w:w="108" w:type="dxa"/>
          <w:bottom w:w="0" w:type="dxa"/>
          <w:right w:w="108" w:type="dxa"/>
        </w:tblCellMar>
      </w:tblPr>
      <w:tblGrid>
        <w:gridCol w:w="1217"/>
        <w:gridCol w:w="1260"/>
        <w:gridCol w:w="2940"/>
        <w:gridCol w:w="1097"/>
        <w:gridCol w:w="960"/>
        <w:gridCol w:w="934"/>
      </w:tblGrid>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Part II</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94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510" w:hRule="atLeast"/>
        </w:trPr>
        <w:tc>
          <w:tcPr>
            <w:tcW w:w="1217" w:type="dxa"/>
            <w:tcBorders>
              <w:top w:val="nil"/>
              <w:left w:val="nil"/>
              <w:bottom w:val="nil"/>
              <w:right w:val="nil"/>
            </w:tcBorders>
            <w:noWrap/>
          </w:tcPr>
          <w:p>
            <w:pPr>
              <w:jc w:val="both"/>
              <w:rPr>
                <w:rFonts w:ascii="Arial" w:hAnsi="Arial" w:cs="Arial"/>
                <w:bCs/>
                <w:szCs w:val="20"/>
              </w:rPr>
            </w:pPr>
            <w:r>
              <w:t>Elec. 201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940" w:type="dxa"/>
            <w:tcBorders>
              <w:top w:val="nil"/>
              <w:left w:val="nil"/>
              <w:bottom w:val="nil"/>
              <w:right w:val="nil"/>
            </w:tcBorders>
          </w:tcPr>
          <w:p>
            <w:pPr>
              <w:pStyle w:val="10"/>
              <w:tabs>
                <w:tab w:val="clear" w:pos="4320"/>
                <w:tab w:val="clear" w:pos="8640"/>
              </w:tabs>
            </w:pPr>
            <w:r>
              <w:t xml:space="preserve">Amplifiers    </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504" w:hRule="atLeast"/>
        </w:trPr>
        <w:tc>
          <w:tcPr>
            <w:tcW w:w="1217" w:type="dxa"/>
            <w:tcBorders>
              <w:top w:val="nil"/>
              <w:left w:val="nil"/>
              <w:bottom w:val="nil"/>
              <w:right w:val="nil"/>
            </w:tcBorders>
            <w:noWrap/>
          </w:tcPr>
          <w:p>
            <w:pPr>
              <w:jc w:val="both"/>
              <w:rPr>
                <w:rFonts w:ascii="Arial" w:hAnsi="Arial" w:cs="Arial"/>
                <w:bCs/>
                <w:szCs w:val="20"/>
              </w:rPr>
            </w:pPr>
            <w:r>
              <w:t>Elec. 202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940" w:type="dxa"/>
            <w:tcBorders>
              <w:top w:val="nil"/>
              <w:left w:val="nil"/>
              <w:bottom w:val="nil"/>
              <w:right w:val="nil"/>
            </w:tcBorders>
          </w:tcPr>
          <w:p>
            <w:pPr>
              <w:pStyle w:val="2"/>
              <w:ind w:right="432"/>
              <w:rPr>
                <w:b w:val="0"/>
                <w:bCs w:val="0"/>
              </w:rPr>
            </w:pPr>
            <w:r>
              <w:rPr>
                <w:rFonts w:eastAsia="MS Mincho" w:cs="Courier New"/>
                <w:b w:val="0"/>
                <w:bCs w:val="0"/>
              </w:rPr>
              <w:t xml:space="preserve">Feedback systems                          </w:t>
            </w:r>
          </w:p>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cantSplit/>
          <w:trHeight w:val="540" w:hRule="atLeast"/>
        </w:trPr>
        <w:tc>
          <w:tcPr>
            <w:tcW w:w="1217" w:type="dxa"/>
            <w:tcBorders>
              <w:top w:val="nil"/>
              <w:left w:val="nil"/>
              <w:right w:val="nil"/>
            </w:tcBorders>
            <w:noWrap/>
          </w:tcPr>
          <w:p>
            <w:pPr>
              <w:jc w:val="both"/>
              <w:rPr>
                <w:rFonts w:ascii="Arial" w:hAnsi="Arial" w:cs="Arial"/>
                <w:bCs/>
                <w:szCs w:val="20"/>
              </w:rPr>
            </w:pPr>
            <w:r>
              <w:t>Elec. 203</w:t>
            </w:r>
          </w:p>
        </w:tc>
        <w:tc>
          <w:tcPr>
            <w:tcW w:w="1260" w:type="dxa"/>
            <w:tcBorders>
              <w:top w:val="nil"/>
              <w:left w:val="nil"/>
              <w:right w:val="nil"/>
            </w:tcBorders>
            <w:noWrap/>
          </w:tcPr>
          <w:p>
            <w:pPr>
              <w:jc w:val="both"/>
              <w:rPr>
                <w:rFonts w:ascii="Arial" w:hAnsi="Arial" w:cs="Arial"/>
                <w:bCs/>
                <w:szCs w:val="20"/>
              </w:rPr>
            </w:pPr>
            <w:r>
              <w:rPr>
                <w:rFonts w:ascii="Arial" w:hAnsi="Arial" w:cs="Arial"/>
                <w:bCs/>
                <w:szCs w:val="20"/>
              </w:rPr>
              <w:t>Paper III</w:t>
            </w:r>
          </w:p>
        </w:tc>
        <w:tc>
          <w:tcPr>
            <w:tcW w:w="2940" w:type="dxa"/>
            <w:tcBorders>
              <w:top w:val="nil"/>
              <w:left w:val="nil"/>
            </w:tcBorders>
          </w:tcPr>
          <w:p>
            <w:pPr>
              <w:pStyle w:val="10"/>
              <w:tabs>
                <w:tab w:val="clear" w:pos="4320"/>
                <w:tab w:val="clear" w:pos="8640"/>
              </w:tabs>
              <w:rPr>
                <w:rFonts w:eastAsia="MS Mincho" w:cs="Courier New"/>
              </w:rPr>
            </w:pPr>
            <w:r>
              <w:rPr>
                <w:rFonts w:eastAsia="MS Mincho" w:cs="Courier New"/>
              </w:rPr>
              <w:t>Communication Electronics</w:t>
            </w:r>
          </w:p>
        </w:tc>
        <w:tc>
          <w:tcPr>
            <w:tcW w:w="1097"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vAlign w:val="center"/>
          </w:tcPr>
          <w:p>
            <w:pPr>
              <w:jc w:val="both"/>
              <w:rPr>
                <w:rFonts w:ascii="Arial" w:hAnsi="Arial" w:cs="Arial"/>
                <w:bCs/>
                <w:szCs w:val="20"/>
              </w:rPr>
            </w:pPr>
          </w:p>
          <w:p>
            <w:pPr>
              <w:jc w:val="both"/>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bottom w:val="nil"/>
              <w:right w:val="nil"/>
            </w:tcBorders>
            <w:noWrap/>
          </w:tcPr>
          <w:p>
            <w:pPr>
              <w:jc w:val="both"/>
              <w:rPr>
                <w:rFonts w:ascii="Arial" w:hAnsi="Arial" w:cs="Arial"/>
                <w:b/>
                <w:bCs/>
                <w:szCs w:val="20"/>
              </w:rPr>
            </w:pPr>
            <w:r>
              <w:rPr>
                <w:rFonts w:ascii="Arial" w:hAnsi="Arial" w:cs="Arial"/>
                <w:b/>
                <w:bCs/>
                <w:szCs w:val="20"/>
              </w:rPr>
              <w:t>PRACTICAL</w:t>
            </w:r>
          </w:p>
        </w:tc>
        <w:tc>
          <w:tcPr>
            <w:tcW w:w="294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20"/>
              </w:rPr>
            </w:pPr>
            <w:r>
              <w:rPr>
                <w:rFonts w:ascii="Arial" w:hAnsi="Arial" w:cs="Arial"/>
                <w:bCs/>
                <w:szCs w:val="20"/>
              </w:rPr>
              <w:t>6</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5</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940" w:type="dxa"/>
            <w:tcBorders>
              <w:top w:val="nil"/>
              <w:left w:val="nil"/>
              <w:right w:val="nil"/>
            </w:tcBorders>
          </w:tcPr>
          <w:p>
            <w:pPr>
              <w:jc w:val="both"/>
              <w:rPr>
                <w:rFonts w:ascii="Arial" w:hAnsi="Arial" w:cs="Arial"/>
                <w:b/>
                <w:bCs/>
                <w:szCs w:val="20"/>
              </w:rPr>
            </w:pPr>
            <w:r>
              <w:rPr>
                <w:rFonts w:ascii="Arial" w:hAnsi="Arial" w:cs="Arial"/>
                <w:b/>
                <w:bCs/>
                <w:szCs w:val="20"/>
              </w:rPr>
              <w:t>Total</w:t>
            </w:r>
          </w:p>
        </w:tc>
        <w:tc>
          <w:tcPr>
            <w:tcW w:w="1097" w:type="dxa"/>
            <w:tcBorders>
              <w:top w:val="nil"/>
              <w:left w:val="nil"/>
              <w:right w:val="nil"/>
            </w:tcBorders>
            <w:noWrap/>
          </w:tcPr>
          <w:p>
            <w:pPr>
              <w:jc w:val="both"/>
              <w:rPr>
                <w:rFonts w:ascii="Arial" w:hAnsi="Arial" w:cs="Arial"/>
                <w:b/>
                <w:bCs/>
                <w:szCs w:val="20"/>
              </w:rPr>
            </w:pPr>
          </w:p>
        </w:tc>
        <w:tc>
          <w:tcPr>
            <w:tcW w:w="960" w:type="dxa"/>
            <w:tcBorders>
              <w:top w:val="nil"/>
              <w:left w:val="nil"/>
              <w:right w:val="nil"/>
            </w:tcBorders>
            <w:noWrap/>
          </w:tcPr>
          <w:p>
            <w:pPr>
              <w:jc w:val="both"/>
              <w:rPr>
                <w:rFonts w:ascii="Arial" w:hAnsi="Arial" w:cs="Arial"/>
                <w:b/>
                <w:bCs/>
                <w:szCs w:val="20"/>
              </w:rPr>
            </w:pPr>
          </w:p>
        </w:tc>
        <w:tc>
          <w:tcPr>
            <w:tcW w:w="934" w:type="dxa"/>
            <w:tcBorders>
              <w:top w:val="nil"/>
              <w:left w:val="nil"/>
              <w:right w:val="nil"/>
            </w:tcBorders>
            <w:noWrap/>
          </w:tcPr>
          <w:p>
            <w:pPr>
              <w:jc w:val="both"/>
              <w:rPr>
                <w:rFonts w:ascii="Arial" w:hAnsi="Arial" w:cs="Arial"/>
                <w:b/>
                <w:bCs/>
                <w:szCs w:val="20"/>
              </w:rPr>
            </w:pPr>
            <w:r>
              <w:rPr>
                <w:rFonts w:ascii="Arial" w:hAnsi="Arial" w:cs="Arial"/>
                <w:b/>
                <w:bCs/>
                <w:szCs w:val="20"/>
              </w:rPr>
              <w:t>225</w:t>
            </w:r>
          </w:p>
        </w:tc>
      </w:tr>
      <w:tr>
        <w:tblPrEx>
          <w:tblCellMar>
            <w:top w:w="0" w:type="dxa"/>
            <w:left w:w="108" w:type="dxa"/>
            <w:bottom w:w="0" w:type="dxa"/>
            <w:right w:w="108" w:type="dxa"/>
          </w:tblCellMar>
        </w:tblPrEx>
        <w:trPr>
          <w:trHeight w:val="255" w:hRule="atLeast"/>
        </w:trPr>
        <w:tc>
          <w:tcPr>
            <w:tcW w:w="1217" w:type="dxa"/>
            <w:tcBorders>
              <w:left w:val="nil"/>
              <w:bottom w:val="nil"/>
              <w:right w:val="nil"/>
            </w:tcBorders>
            <w:noWrap/>
          </w:tcPr>
          <w:p>
            <w:pPr>
              <w:jc w:val="both"/>
              <w:rPr>
                <w:rFonts w:ascii="Arial" w:hAnsi="Arial" w:cs="Arial"/>
                <w:bCs/>
                <w:szCs w:val="20"/>
              </w:rPr>
            </w:pPr>
          </w:p>
        </w:tc>
        <w:tc>
          <w:tcPr>
            <w:tcW w:w="1260" w:type="dxa"/>
            <w:tcBorders>
              <w:left w:val="nil"/>
              <w:bottom w:val="nil"/>
              <w:right w:val="nil"/>
            </w:tcBorders>
            <w:noWrap/>
          </w:tcPr>
          <w:p>
            <w:pPr>
              <w:jc w:val="both"/>
              <w:rPr>
                <w:rFonts w:ascii="Arial" w:hAnsi="Arial" w:cs="Arial"/>
                <w:bCs/>
                <w:szCs w:val="20"/>
              </w:rPr>
            </w:pPr>
          </w:p>
        </w:tc>
        <w:tc>
          <w:tcPr>
            <w:tcW w:w="2940" w:type="dxa"/>
            <w:tcBorders>
              <w:left w:val="nil"/>
              <w:right w:val="nil"/>
            </w:tcBorders>
          </w:tcPr>
          <w:p>
            <w:pPr>
              <w:jc w:val="both"/>
              <w:rPr>
                <w:rFonts w:ascii="Arial" w:hAnsi="Arial" w:cs="Arial"/>
                <w:bCs/>
                <w:szCs w:val="20"/>
              </w:rPr>
            </w:pPr>
          </w:p>
        </w:tc>
        <w:tc>
          <w:tcPr>
            <w:tcW w:w="1097" w:type="dxa"/>
            <w:tcBorders>
              <w:left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left w:val="nil"/>
              <w:bottom w:val="nil"/>
              <w:right w:val="nil"/>
            </w:tcBorders>
            <w:noWrap/>
          </w:tcPr>
          <w:p>
            <w:pPr>
              <w:jc w:val="both"/>
              <w:rPr>
                <w:rFonts w:ascii="Arial" w:hAnsi="Arial" w:cs="Arial"/>
                <w:bCs/>
                <w:szCs w:val="20"/>
              </w:rPr>
            </w:pPr>
          </w:p>
        </w:tc>
      </w:tr>
    </w:tbl>
    <w:p>
      <w:pPr>
        <w:jc w:val="center"/>
      </w:pPr>
    </w:p>
    <w:p>
      <w:pPr>
        <w:ind w:left="180"/>
        <w:jc w:val="center"/>
        <w:rPr>
          <w:b/>
          <w:smallCaps/>
          <w:sz w:val="28"/>
          <w:szCs w:val="28"/>
        </w:rPr>
      </w:pPr>
      <w:r>
        <w:rPr>
          <w:b/>
          <w:smallCaps/>
          <w:sz w:val="28"/>
          <w:szCs w:val="28"/>
        </w:rPr>
        <w:t xml:space="preserve">B.Sc. Part II </w:t>
      </w:r>
    </w:p>
    <w:p>
      <w:pPr>
        <w:ind w:left="180"/>
        <w:jc w:val="center"/>
        <w:rPr>
          <w:b/>
          <w:smallCaps/>
          <w:sz w:val="28"/>
          <w:szCs w:val="28"/>
        </w:rPr>
      </w:pPr>
    </w:p>
    <w:p>
      <w:pPr>
        <w:ind w:left="180"/>
        <w:jc w:val="center"/>
        <w:rPr>
          <w:b/>
          <w:smallCaps/>
          <w:sz w:val="28"/>
          <w:szCs w:val="28"/>
        </w:rPr>
      </w:pPr>
      <w:r>
        <w:rPr>
          <w:b/>
          <w:smallCaps/>
          <w:sz w:val="28"/>
          <w:szCs w:val="28"/>
        </w:rPr>
        <w:t>Paper I :  Amplifiers</w:t>
      </w:r>
    </w:p>
    <w:p>
      <w:pPr>
        <w:pStyle w:val="14"/>
        <w:jc w:val="both"/>
      </w:pPr>
      <w:r>
        <w:t>Note: The question paper for the examination will be divided in three parts i.e., Section – A, Section – B and Section – C.</w:t>
      </w:r>
    </w:p>
    <w:p>
      <w:pPr>
        <w:pStyle w:val="13"/>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3"/>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7"/>
        <w:ind w:left="180" w:right="0"/>
      </w:pPr>
    </w:p>
    <w:p>
      <w:pPr>
        <w:ind w:left="180"/>
        <w:jc w:val="both"/>
      </w:pPr>
    </w:p>
    <w:p>
      <w:pPr>
        <w:ind w:left="180"/>
        <w:jc w:val="both"/>
      </w:pPr>
      <w:r>
        <w:t>U</w:t>
      </w:r>
      <w:r>
        <w:rPr>
          <w:rFonts w:eastAsia="MS Mincho"/>
          <w:smallCaps/>
        </w:rPr>
        <w:t>nit</w:t>
      </w:r>
      <w:r>
        <w:t xml:space="preserve"> 1 :  </w:t>
      </w:r>
    </w:p>
    <w:p>
      <w:pPr>
        <w:ind w:left="180"/>
        <w:jc w:val="both"/>
      </w:pPr>
      <w:r>
        <w:t xml:space="preserve">Transistor biasing, bias stabilization and Operating point, thermal instability, stability factor, fixed bias, collector to  base bias, emitter bias, voltage divider bias with emitter bias and emitter by pass capacitor. </w:t>
      </w:r>
    </w:p>
    <w:p>
      <w:pPr>
        <w:ind w:left="180"/>
        <w:jc w:val="both"/>
      </w:pPr>
    </w:p>
    <w:p>
      <w:pPr>
        <w:ind w:left="180"/>
        <w:jc w:val="both"/>
      </w:pPr>
      <w:r>
        <w:t>U</w:t>
      </w:r>
      <w:r>
        <w:rPr>
          <w:rFonts w:eastAsia="MS Mincho"/>
          <w:smallCaps/>
        </w:rPr>
        <w:t>nit</w:t>
      </w:r>
      <w:r>
        <w:t xml:space="preserve"> 2 :</w:t>
      </w:r>
    </w:p>
    <w:p>
      <w:pPr>
        <w:ind w:left="180"/>
        <w:jc w:val="both"/>
      </w:pPr>
      <w:r>
        <w:t xml:space="preserve">Small signal transistor amplifier </w:t>
      </w:r>
      <w:r>
        <w:rPr>
          <w:rFonts w:eastAsia="MS Mincho"/>
        </w:rPr>
        <w:t>Small signal  hybrid equivalent circuits at low frequencies,  analysis of transistor amplifier using h -  parameters,  current gain, input impedance, voltage gain and output impedance, comparison of CE, CB, CC amplifiers, Maximum available power gain, cascading transistor amplifiers.</w:t>
      </w:r>
    </w:p>
    <w:p>
      <w:pPr>
        <w:pStyle w:val="12"/>
        <w:ind w:left="180"/>
        <w:rPr>
          <w:rFonts w:ascii="Times New Roman" w:hAnsi="Times New Roman" w:eastAsia="MS Mincho"/>
          <w:sz w:val="24"/>
        </w:rPr>
      </w:pPr>
      <w:r>
        <w:rPr>
          <w:rFonts w:ascii="Times New Roman" w:hAnsi="Times New Roman" w:eastAsia="MS Mincho"/>
          <w:sz w:val="24"/>
        </w:rPr>
        <w:t xml:space="preserve"> </w:t>
      </w: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3:</w:t>
      </w:r>
    </w:p>
    <w:p>
      <w:pPr>
        <w:pStyle w:val="12"/>
        <w:ind w:left="180"/>
        <w:rPr>
          <w:rFonts w:ascii="Times New Roman" w:hAnsi="Times New Roman" w:eastAsia="MS Mincho"/>
          <w:sz w:val="24"/>
        </w:rPr>
      </w:pPr>
      <w:r>
        <w:rPr>
          <w:rFonts w:ascii="Times New Roman" w:hAnsi="Times New Roman" w:eastAsia="MS Mincho"/>
          <w:sz w:val="24"/>
        </w:rPr>
        <w:t xml:space="preserve"> Frequency response of amplifier :Amplifier  using triode, pentode, FET's, input capacitance, miller effect, bias methods, R.C. coupled amplifiers, voltage gain at low, mid and high frequencies, gain band width product. effect of cascading on gain and bandwidth.</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4:  </w:t>
      </w:r>
    </w:p>
    <w:p>
      <w:pPr>
        <w:pStyle w:val="12"/>
        <w:ind w:left="180"/>
        <w:rPr>
          <w:rFonts w:ascii="Times New Roman" w:hAnsi="Times New Roman" w:eastAsia="MS Mincho"/>
          <w:sz w:val="24"/>
        </w:rPr>
      </w:pPr>
      <w:r>
        <w:rPr>
          <w:rFonts w:ascii="Times New Roman" w:hAnsi="Times New Roman" w:eastAsia="MS Mincho"/>
          <w:sz w:val="24"/>
        </w:rPr>
        <w:t>Large signal (power) amplifier : Class A, Class B and class C operations, efficiencies, distortions, power amplification, push pull amplifiers using transistors, transistor phase inverter, Class C tuned amplifier, commercial AF amplifier.</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5 : </w:t>
      </w:r>
    </w:p>
    <w:p>
      <w:pPr>
        <w:pStyle w:val="12"/>
        <w:ind w:left="180"/>
        <w:rPr>
          <w:rFonts w:ascii="Times New Roman" w:hAnsi="Times New Roman" w:eastAsia="MS Mincho"/>
          <w:sz w:val="24"/>
        </w:rPr>
      </w:pPr>
      <w:r>
        <w:rPr>
          <w:rFonts w:ascii="Times New Roman" w:hAnsi="Times New Roman" w:eastAsia="MS Mincho"/>
          <w:sz w:val="24"/>
        </w:rPr>
        <w:t xml:space="preserve">Wide band (or video) amplifier :Band width requirement, high frequency hybrid </w:t>
      </w:r>
      <w:r>
        <w:rPr>
          <w:rFonts w:ascii="Times New Roman" w:hAnsi="Times New Roman" w:eastAsia="MS Mincho"/>
          <w:sz w:val="24"/>
        </w:rPr>
        <w:sym w:font="Symbol" w:char="F070"/>
      </w:r>
      <w:r>
        <w:rPr>
          <w:rFonts w:ascii="Times New Roman" w:hAnsi="Times New Roman" w:eastAsia="MS Mincho"/>
          <w:sz w:val="24"/>
        </w:rPr>
        <w:t xml:space="preserve"> circuits  for transistors, pulse testing, rise time, sag, various compensation techniques</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p>
    <w:p>
      <w:pPr>
        <w:pStyle w:val="12"/>
        <w:ind w:left="180"/>
        <w:jc w:val="center"/>
        <w:rPr>
          <w:rFonts w:ascii="Times New Roman" w:hAnsi="Times New Roman" w:eastAsia="MS Mincho"/>
          <w:b/>
          <w:smallCaps/>
          <w:sz w:val="28"/>
          <w:szCs w:val="28"/>
        </w:rPr>
      </w:pPr>
      <w:r>
        <w:rPr>
          <w:rFonts w:ascii="Times New Roman" w:hAnsi="Times New Roman" w:eastAsia="MS Mincho"/>
          <w:b/>
          <w:smallCaps/>
          <w:sz w:val="28"/>
          <w:szCs w:val="28"/>
        </w:rPr>
        <w:t>Paper II : Feedback systems</w:t>
      </w:r>
    </w:p>
    <w:p>
      <w:pPr>
        <w:pStyle w:val="12"/>
        <w:ind w:left="180"/>
        <w:rPr>
          <w:rFonts w:ascii="Times New Roman" w:hAnsi="Times New Roman" w:eastAsia="MS Mincho"/>
          <w:sz w:val="24"/>
        </w:rPr>
      </w:pPr>
    </w:p>
    <w:p>
      <w:pPr>
        <w:pStyle w:val="14"/>
        <w:jc w:val="both"/>
      </w:pPr>
      <w:r>
        <w:t>Note: The question paper for the examination will be divided in three parts i.e., Section – A, Section – B and Section – C.</w:t>
      </w:r>
    </w:p>
    <w:p>
      <w:pPr>
        <w:pStyle w:val="13"/>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3"/>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3"/>
        <w:ind w:left="720"/>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1: </w:t>
      </w:r>
    </w:p>
    <w:p>
      <w:pPr>
        <w:pStyle w:val="12"/>
        <w:ind w:left="180"/>
        <w:rPr>
          <w:rFonts w:ascii="Times New Roman" w:hAnsi="Times New Roman" w:eastAsia="MS Mincho"/>
          <w:sz w:val="24"/>
        </w:rPr>
      </w:pPr>
      <w:r>
        <w:rPr>
          <w:rFonts w:ascii="Times New Roman" w:hAnsi="Times New Roman" w:eastAsia="MS Mincho"/>
          <w:sz w:val="24"/>
        </w:rPr>
        <w:t xml:space="preserve">Feedback : General theory of feedback, characteristics of negative feedback - gain, stability, distortion, noise, frequency response, effect of negative feedback on input and output impedances of an amplifier,  Voltage feedback- series input, shunt input, current feedback- series input and shunt input. </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 xml:space="preserve">Unit 2 : </w:t>
      </w:r>
    </w:p>
    <w:p>
      <w:pPr>
        <w:pStyle w:val="12"/>
        <w:ind w:left="180"/>
        <w:rPr>
          <w:rFonts w:ascii="Times New Roman" w:hAnsi="Times New Roman" w:eastAsia="MS Mincho"/>
          <w:sz w:val="24"/>
        </w:rPr>
      </w:pPr>
      <w:r>
        <w:rPr>
          <w:rFonts w:ascii="Times New Roman" w:hAnsi="Times New Roman" w:eastAsia="MS Mincho"/>
          <w:sz w:val="24"/>
        </w:rPr>
        <w:t xml:space="preserve">Feedback amplifier: CE amplifier with current series and voltage shunt  feedback, emitter follower, cathode follower and source follower, Cascade amplifier for tube, transistor and FET, Darlington pair, bootstrapping principle. </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3 :</w:t>
      </w:r>
    </w:p>
    <w:p>
      <w:pPr>
        <w:pStyle w:val="12"/>
        <w:ind w:left="180"/>
        <w:rPr>
          <w:rFonts w:ascii="Times New Roman" w:hAnsi="Times New Roman" w:eastAsia="MS Mincho"/>
          <w:sz w:val="24"/>
        </w:rPr>
      </w:pPr>
      <w:r>
        <w:rPr>
          <w:rFonts w:ascii="Times New Roman" w:hAnsi="Times New Roman" w:eastAsia="MS Mincho"/>
          <w:sz w:val="24"/>
        </w:rPr>
        <w:t xml:space="preserve"> Oscillators :  Positive feedback and Barkhausen criterion, RC phase shift oscillator, Wein bridge oscillator, LC oscillators, tuned collector and tuned base, Hartley and Colpitt oscillators.</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4: </w:t>
      </w:r>
    </w:p>
    <w:p>
      <w:pPr>
        <w:pStyle w:val="12"/>
        <w:ind w:left="180"/>
        <w:rPr>
          <w:rFonts w:ascii="Times New Roman" w:hAnsi="Times New Roman" w:eastAsia="MS Mincho"/>
          <w:sz w:val="24"/>
        </w:rPr>
      </w:pPr>
      <w:r>
        <w:rPr>
          <w:rFonts w:ascii="Times New Roman" w:hAnsi="Times New Roman" w:eastAsia="MS Mincho"/>
          <w:sz w:val="24"/>
        </w:rPr>
        <w:t>Operational Amplifier : Ideal operational amplifier, practical inverting and non inverting operational amplifiers, differential amplifier, common - mode rejection ratio ( CMMR) emitter coupled differential amplifier, offset error voltages and currents, universal balancing techniques, input and output impedances of  Op-Amp amplifier, oscillators using Op-Amp.</w:t>
      </w:r>
    </w:p>
    <w:p>
      <w:pPr>
        <w:pStyle w:val="12"/>
        <w:ind w:left="180"/>
        <w:rPr>
          <w:rFonts w:ascii="Times New Roman" w:hAnsi="Times New Roman" w:eastAsia="MS Mincho"/>
          <w:sz w:val="24"/>
        </w:rPr>
      </w:pPr>
    </w:p>
    <w:p>
      <w:pPr>
        <w:pStyle w:val="12"/>
        <w:ind w:left="180"/>
        <w:rPr>
          <w:rFonts w:ascii="Times New Roman" w:hAnsi="Times New Roman" w:eastAsia="MS Mincho"/>
          <w:sz w:val="24"/>
        </w:rPr>
      </w:pPr>
      <w:r>
        <w:rPr>
          <w:rFonts w:ascii="Times New Roman" w:hAnsi="Times New Roman" w:eastAsia="MS Mincho"/>
          <w:sz w:val="24"/>
        </w:rPr>
        <w:t>U</w:t>
      </w:r>
      <w:r>
        <w:rPr>
          <w:rFonts w:eastAsia="MS Mincho"/>
          <w:smallCaps/>
        </w:rPr>
        <w:t>nit</w:t>
      </w:r>
      <w:r>
        <w:rPr>
          <w:rFonts w:ascii="Times New Roman" w:hAnsi="Times New Roman" w:eastAsia="MS Mincho"/>
          <w:sz w:val="24"/>
        </w:rPr>
        <w:t xml:space="preserve"> 5 : </w:t>
      </w:r>
    </w:p>
    <w:p>
      <w:pPr>
        <w:pStyle w:val="12"/>
        <w:ind w:left="180"/>
        <w:rPr>
          <w:rFonts w:ascii="Times New Roman" w:hAnsi="Times New Roman" w:eastAsia="MS Mincho"/>
          <w:sz w:val="24"/>
          <w:szCs w:val="24"/>
        </w:rPr>
      </w:pPr>
      <w:r>
        <w:rPr>
          <w:rFonts w:ascii="Times New Roman" w:hAnsi="Times New Roman" w:eastAsia="MS Mincho"/>
          <w:sz w:val="24"/>
          <w:szCs w:val="24"/>
        </w:rPr>
        <w:t xml:space="preserve">Analog Computation : Basic building blocks of analog computer, solution of linear differential equations with constant coefficients, analog computer symbols, time and amplitude scaling technique, estimation of maximum values, combined time and amplitude scaling </w:t>
      </w:r>
    </w:p>
    <w:p>
      <w:pPr>
        <w:ind w:left="180"/>
        <w:jc w:val="both"/>
        <w:rPr>
          <w:rFonts w:eastAsia="MS Mincho"/>
        </w:rPr>
      </w:pPr>
    </w:p>
    <w:p>
      <w:pPr>
        <w:ind w:left="180"/>
        <w:jc w:val="center"/>
        <w:rPr>
          <w:rFonts w:eastAsia="MS Mincho"/>
          <w:b/>
          <w:smallCaps/>
          <w:sz w:val="28"/>
          <w:szCs w:val="28"/>
        </w:rPr>
      </w:pPr>
      <w:r>
        <w:rPr>
          <w:rFonts w:eastAsia="MS Mincho"/>
          <w:b/>
          <w:smallCaps/>
          <w:sz w:val="28"/>
          <w:szCs w:val="28"/>
        </w:rPr>
        <w:t xml:space="preserve">Paper III  : Communication Electronics </w:t>
      </w:r>
    </w:p>
    <w:p>
      <w:pPr>
        <w:ind w:left="180"/>
        <w:jc w:val="center"/>
        <w:rPr>
          <w:rFonts w:eastAsia="MS Mincho"/>
          <w:b/>
          <w:smallCaps/>
          <w:sz w:val="28"/>
          <w:szCs w:val="28"/>
        </w:rPr>
      </w:pPr>
    </w:p>
    <w:p>
      <w:pPr>
        <w:pStyle w:val="14"/>
        <w:jc w:val="both"/>
      </w:pPr>
      <w:r>
        <w:t>Note: The question paper for the examination will be divided in three parts i.e., Section – A, Section – B and Section – C.</w:t>
      </w:r>
    </w:p>
    <w:p>
      <w:pPr>
        <w:pStyle w:val="13"/>
        <w:ind w:left="720"/>
      </w:pPr>
      <w:r>
        <w:rPr>
          <w:b/>
        </w:rPr>
        <w:t>Section – A:</w:t>
      </w:r>
      <w:r>
        <w:t xml:space="preserve"> Will consist of 10 compulsory questions. There will be two questions from each unit and answer of each question shall be limited upto 30 words. Each question will carry 1 mark.</w:t>
      </w:r>
    </w:p>
    <w:p>
      <w:pPr>
        <w:pStyle w:val="13"/>
        <w:ind w:left="720"/>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ind w:left="720"/>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7"/>
        <w:ind w:left="180" w:right="0"/>
      </w:pPr>
    </w:p>
    <w:p>
      <w:pPr>
        <w:ind w:left="180"/>
        <w:jc w:val="both"/>
        <w:rPr>
          <w:rFonts w:eastAsia="MS Mincho"/>
        </w:rPr>
      </w:pPr>
    </w:p>
    <w:p>
      <w:pPr>
        <w:ind w:left="180"/>
        <w:jc w:val="both"/>
        <w:rPr>
          <w:rFonts w:eastAsia="MS Mincho"/>
        </w:rPr>
      </w:pPr>
      <w:r>
        <w:rPr>
          <w:rFonts w:eastAsia="MS Mincho"/>
        </w:rPr>
        <w:t>U</w:t>
      </w:r>
      <w:r>
        <w:rPr>
          <w:rFonts w:eastAsia="MS Mincho"/>
          <w:smallCaps/>
        </w:rPr>
        <w:t>nit</w:t>
      </w:r>
      <w:r>
        <w:rPr>
          <w:rFonts w:eastAsia="MS Mincho"/>
        </w:rPr>
        <w:t xml:space="preserve"> 1: </w:t>
      </w:r>
    </w:p>
    <w:p>
      <w:pPr>
        <w:ind w:left="180"/>
        <w:jc w:val="both"/>
        <w:rPr>
          <w:rFonts w:eastAsia="MS Mincho"/>
        </w:rPr>
      </w:pPr>
      <w:r>
        <w:rPr>
          <w:rFonts w:eastAsia="MS Mincho"/>
        </w:rPr>
        <w:t>Modulation : Need of a carrier frequency, AM, FM, PM, PCM, side bands, power consideration, collector and base modulation circuits. SSB transmission, FM by reactance variation using transistor, Armstrong PM system, block diagram of AM and FM transmitters</w:t>
      </w:r>
    </w:p>
    <w:p>
      <w:pPr>
        <w:ind w:left="180"/>
        <w:jc w:val="both"/>
        <w:rPr>
          <w:rFonts w:eastAsia="MS Mincho"/>
        </w:rPr>
      </w:pPr>
    </w:p>
    <w:p>
      <w:pPr>
        <w:ind w:left="180"/>
        <w:jc w:val="both"/>
        <w:rPr>
          <w:rFonts w:eastAsia="MS Mincho"/>
        </w:rPr>
      </w:pPr>
      <w:r>
        <w:rPr>
          <w:rFonts w:eastAsia="MS Mincho"/>
        </w:rPr>
        <w:t>U</w:t>
      </w:r>
      <w:r>
        <w:rPr>
          <w:rFonts w:eastAsia="MS Mincho"/>
          <w:smallCaps/>
        </w:rPr>
        <w:t>nit</w:t>
      </w:r>
      <w:r>
        <w:rPr>
          <w:rFonts w:eastAsia="MS Mincho"/>
        </w:rPr>
        <w:t xml:space="preserve"> 2: </w:t>
      </w:r>
    </w:p>
    <w:p>
      <w:pPr>
        <w:ind w:left="180"/>
        <w:jc w:val="both"/>
        <w:rPr>
          <w:rFonts w:eastAsia="MS Mincho"/>
        </w:rPr>
      </w:pPr>
      <w:r>
        <w:rPr>
          <w:rFonts w:eastAsia="MS Mincho"/>
        </w:rPr>
        <w:t>Demodulation : Demodulation of AM signals, square law demodulation, linear envelope detector, AGC, demodulation of FM signals, amplitude limiter, Foster- Seeley frequency discriminator, Ratio detector</w:t>
      </w:r>
    </w:p>
    <w:p>
      <w:pPr>
        <w:ind w:left="180"/>
        <w:jc w:val="both"/>
      </w:pPr>
    </w:p>
    <w:p>
      <w:pPr>
        <w:ind w:left="180"/>
        <w:jc w:val="both"/>
      </w:pPr>
      <w:r>
        <w:t>U</w:t>
      </w:r>
      <w:r>
        <w:rPr>
          <w:rFonts w:eastAsia="MS Mincho"/>
          <w:smallCaps/>
        </w:rPr>
        <w:t>nit</w:t>
      </w:r>
      <w:r>
        <w:t xml:space="preserve"> 3: </w:t>
      </w:r>
    </w:p>
    <w:p>
      <w:pPr>
        <w:ind w:left="180"/>
        <w:jc w:val="both"/>
      </w:pPr>
      <w:r>
        <w:t xml:space="preserve">Transmission line: </w:t>
      </w:r>
      <w:r>
        <w:rPr>
          <w:rFonts w:eastAsia="MS Mincho"/>
        </w:rPr>
        <w:t xml:space="preserve">Propagation constant, characteristic impedance, reflection on a line not terminated in characteristics impedance, reflection coefficient, open and short circuited lines, SWR, Impedance properties of  </w:t>
      </w:r>
      <w:r>
        <w:rPr>
          <w:rFonts w:eastAsia="MS Mincho"/>
        </w:rPr>
        <w:sym w:font="Symbol" w:char="F06C"/>
      </w:r>
      <w:r>
        <w:rPr>
          <w:rFonts w:eastAsia="MS Mincho"/>
        </w:rPr>
        <w:t xml:space="preserve">/4 and </w:t>
      </w:r>
      <w:r>
        <w:rPr>
          <w:rFonts w:eastAsia="MS Mincho"/>
        </w:rPr>
        <w:sym w:font="Symbol" w:char="F06C"/>
      </w:r>
      <w:r>
        <w:rPr>
          <w:rFonts w:eastAsia="MS Mincho"/>
        </w:rPr>
        <w:t>/2 lines, stub matching.</w:t>
      </w:r>
    </w:p>
    <w:p>
      <w:pPr>
        <w:pStyle w:val="12"/>
        <w:ind w:left="180"/>
        <w:rPr>
          <w:rFonts w:ascii="Times New Roman" w:hAnsi="Times New Roman" w:eastAsia="MS Mincho"/>
          <w:sz w:val="24"/>
        </w:rPr>
      </w:pPr>
    </w:p>
    <w:p>
      <w:pPr>
        <w:ind w:left="180"/>
        <w:jc w:val="both"/>
        <w:rPr>
          <w:rFonts w:eastAsia="MS Mincho"/>
        </w:rPr>
      </w:pPr>
      <w:r>
        <w:rPr>
          <w:rFonts w:eastAsia="MS Mincho"/>
        </w:rPr>
        <w:t>U</w:t>
      </w:r>
      <w:r>
        <w:rPr>
          <w:rFonts w:eastAsia="MS Mincho"/>
          <w:smallCaps/>
        </w:rPr>
        <w:t>nit</w:t>
      </w:r>
      <w:r>
        <w:rPr>
          <w:rFonts w:eastAsia="MS Mincho"/>
        </w:rPr>
        <w:t xml:space="preserve"> 4: </w:t>
      </w:r>
    </w:p>
    <w:p>
      <w:pPr>
        <w:ind w:left="180"/>
        <w:jc w:val="both"/>
        <w:rPr>
          <w:rFonts w:eastAsia="MS Mincho"/>
        </w:rPr>
      </w:pPr>
      <w:r>
        <w:rPr>
          <w:rFonts w:eastAsia="MS Mincho"/>
        </w:rPr>
        <w:t>Antennas :Dipole, quarter  wave and half wave antenna and their radiation patterns, effect of ground, grounded antenna and  antenna  arrays</w:t>
      </w:r>
    </w:p>
    <w:p>
      <w:pPr>
        <w:ind w:left="180"/>
        <w:jc w:val="both"/>
      </w:pPr>
    </w:p>
    <w:p>
      <w:pPr>
        <w:ind w:left="180"/>
        <w:jc w:val="both"/>
      </w:pPr>
      <w:r>
        <w:t>U</w:t>
      </w:r>
      <w:r>
        <w:rPr>
          <w:rFonts w:eastAsia="MS Mincho"/>
          <w:smallCaps/>
        </w:rPr>
        <w:t>nit</w:t>
      </w:r>
      <w:r>
        <w:t xml:space="preserve"> 5 : </w:t>
      </w:r>
    </w:p>
    <w:p>
      <w:pPr>
        <w:ind w:left="180"/>
        <w:jc w:val="both"/>
      </w:pPr>
      <w:r>
        <w:t xml:space="preserve">Propagation of radio waves : </w:t>
      </w:r>
      <w:r>
        <w:rPr>
          <w:rFonts w:eastAsia="MS Mincho"/>
        </w:rPr>
        <w:t xml:space="preserve"> Ground wave, sky wave and space wave propagation, structure of ionosphere, refraction and reflection of sky wave by ionosphere, refractive index, critical frequency, MUF, skip distance and fading.</w:t>
      </w:r>
    </w:p>
    <w:p>
      <w:pPr>
        <w:ind w:left="180"/>
        <w:jc w:val="both"/>
      </w:pPr>
    </w:p>
    <w:p>
      <w:pPr>
        <w:ind w:left="180"/>
        <w:jc w:val="both"/>
      </w:pPr>
    </w:p>
    <w:p>
      <w:pPr>
        <w:ind w:left="180"/>
        <w:jc w:val="both"/>
        <w:rPr>
          <w:b/>
        </w:rPr>
      </w:pPr>
      <w:r>
        <w:rPr>
          <w:b/>
        </w:rPr>
        <w:t>Books Suggested :</w:t>
      </w:r>
    </w:p>
    <w:p>
      <w:pPr>
        <w:ind w:left="180"/>
        <w:jc w:val="both"/>
      </w:pPr>
      <w:r>
        <w:t xml:space="preserve">Millman and Halkais : Electronic Devcies and Circuits  TMH </w:t>
      </w:r>
    </w:p>
    <w:p>
      <w:pPr>
        <w:ind w:left="180"/>
        <w:jc w:val="both"/>
      </w:pPr>
      <w:r>
        <w:t xml:space="preserve">Mottershead : Electronics Devices and Circuits  PHI, 1984 </w:t>
      </w:r>
    </w:p>
    <w:p>
      <w:pPr>
        <w:ind w:left="180"/>
        <w:jc w:val="both"/>
      </w:pPr>
      <w:r>
        <w:t>Ryder : Networks, Lines and Fields  PHI 1983</w:t>
      </w:r>
    </w:p>
    <w:p>
      <w:pPr>
        <w:ind w:left="180"/>
        <w:jc w:val="both"/>
      </w:pPr>
      <w:r>
        <w:t xml:space="preserve">Terman : Electronic and Radio Engineering, McGraw Hill </w:t>
      </w:r>
    </w:p>
    <w:p>
      <w:pPr>
        <w:ind w:left="180"/>
        <w:jc w:val="both"/>
      </w:pPr>
      <w:r>
        <w:t>Kennedy: Electronic Communication Systems, McGraw Hill</w:t>
      </w:r>
    </w:p>
    <w:p>
      <w:pPr>
        <w:ind w:left="180"/>
        <w:jc w:val="both"/>
      </w:pPr>
    </w:p>
    <w:p>
      <w:pPr>
        <w:ind w:left="180"/>
        <w:jc w:val="both"/>
      </w:pPr>
    </w:p>
    <w:p>
      <w:pPr>
        <w:ind w:left="180"/>
        <w:jc w:val="both"/>
      </w:pPr>
    </w:p>
    <w:p>
      <w:pPr>
        <w:ind w:left="180"/>
        <w:jc w:val="center"/>
        <w:rPr>
          <w:b/>
          <w:smallCaps/>
          <w:sz w:val="28"/>
          <w:szCs w:val="28"/>
        </w:rPr>
      </w:pPr>
      <w:r>
        <w:rPr>
          <w:b/>
          <w:smallCaps/>
          <w:sz w:val="28"/>
          <w:szCs w:val="28"/>
        </w:rPr>
        <w:br w:type="page"/>
      </w:r>
      <w:r>
        <w:rPr>
          <w:b/>
          <w:smallCaps/>
          <w:sz w:val="28"/>
          <w:szCs w:val="28"/>
        </w:rPr>
        <w:t>Experiments for Practical Work</w:t>
      </w:r>
    </w:p>
    <w:p>
      <w:pPr>
        <w:ind w:left="180"/>
        <w:jc w:val="center"/>
        <w:rPr>
          <w:b/>
          <w:smallCaps/>
          <w:sz w:val="28"/>
          <w:szCs w:val="28"/>
        </w:rPr>
      </w:pPr>
    </w:p>
    <w:p>
      <w:pPr>
        <w:numPr>
          <w:ilvl w:val="0"/>
          <w:numId w:val="2"/>
        </w:numPr>
        <w:ind w:left="180" w:firstLine="180"/>
        <w:jc w:val="both"/>
      </w:pPr>
      <w:r>
        <w:t>Study the Characteristics of Pentode</w:t>
      </w:r>
    </w:p>
    <w:p>
      <w:pPr>
        <w:numPr>
          <w:ilvl w:val="0"/>
          <w:numId w:val="2"/>
        </w:numPr>
        <w:ind w:left="180" w:firstLine="180"/>
        <w:jc w:val="both"/>
      </w:pPr>
      <w:r>
        <w:rPr>
          <w:rFonts w:eastAsia="MS Mincho"/>
        </w:rPr>
        <w:t xml:space="preserve">Study </w:t>
      </w:r>
      <w:r>
        <w:t>the frequency responseof t</w:t>
      </w:r>
      <w:r>
        <w:rPr>
          <w:rFonts w:eastAsia="MS Mincho"/>
        </w:rPr>
        <w:t>wo stage RC coupled transistor Amplifier</w:t>
      </w:r>
    </w:p>
    <w:p>
      <w:pPr>
        <w:numPr>
          <w:ilvl w:val="0"/>
          <w:numId w:val="2"/>
        </w:numPr>
        <w:ind w:left="180" w:firstLine="180"/>
        <w:jc w:val="both"/>
      </w:pPr>
      <w:r>
        <w:rPr>
          <w:rFonts w:eastAsia="MS Mincho"/>
        </w:rPr>
        <w:t xml:space="preserve">Study </w:t>
      </w:r>
      <w:r>
        <w:t>the frequency responseof t</w:t>
      </w:r>
      <w:r>
        <w:rPr>
          <w:rFonts w:eastAsia="MS Mincho"/>
        </w:rPr>
        <w:t>wo stage RC coupled FET Amplifier</w:t>
      </w:r>
    </w:p>
    <w:p>
      <w:pPr>
        <w:numPr>
          <w:ilvl w:val="0"/>
          <w:numId w:val="2"/>
        </w:numPr>
        <w:ind w:left="180" w:firstLine="180"/>
        <w:jc w:val="both"/>
      </w:pPr>
      <w:r>
        <w:rPr>
          <w:rFonts w:eastAsia="MS Mincho"/>
        </w:rPr>
        <w:t xml:space="preserve">Study </w:t>
      </w:r>
      <w:r>
        <w:t>the frequency response of t</w:t>
      </w:r>
      <w:r>
        <w:rPr>
          <w:rFonts w:eastAsia="MS Mincho"/>
        </w:rPr>
        <w:t>wo stage RC coupled tube Amplifier</w:t>
      </w:r>
    </w:p>
    <w:p>
      <w:pPr>
        <w:pStyle w:val="18"/>
        <w:numPr>
          <w:ilvl w:val="0"/>
          <w:numId w:val="2"/>
        </w:numPr>
        <w:jc w:val="both"/>
      </w:pPr>
      <w:r>
        <w:rPr>
          <w:rFonts w:eastAsia="MS Mincho"/>
        </w:rPr>
        <w:t xml:space="preserve">Study </w:t>
      </w:r>
      <w:r>
        <w:t>the frequency responseof a current series negative feedback amplifier</w:t>
      </w:r>
    </w:p>
    <w:p>
      <w:pPr>
        <w:numPr>
          <w:ilvl w:val="0"/>
          <w:numId w:val="2"/>
        </w:numPr>
        <w:ind w:left="180" w:firstLine="180"/>
        <w:jc w:val="both"/>
      </w:pPr>
      <w:r>
        <w:rPr>
          <w:rFonts w:eastAsia="MS Mincho"/>
        </w:rPr>
        <w:t>Measurement of gain, input and output impedance of an voltage amplifier</w:t>
      </w:r>
    </w:p>
    <w:p>
      <w:pPr>
        <w:numPr>
          <w:ilvl w:val="0"/>
          <w:numId w:val="2"/>
        </w:numPr>
        <w:ind w:left="180" w:firstLine="180"/>
        <w:jc w:val="both"/>
      </w:pPr>
      <w:r>
        <w:rPr>
          <w:rFonts w:eastAsia="MS Mincho"/>
        </w:rPr>
        <w:t>Measurement of gain, input and output impedance of emitter follower</w:t>
      </w:r>
    </w:p>
    <w:p>
      <w:pPr>
        <w:numPr>
          <w:ilvl w:val="0"/>
          <w:numId w:val="2"/>
        </w:numPr>
        <w:ind w:left="180" w:firstLine="180"/>
        <w:jc w:val="both"/>
      </w:pPr>
      <w:r>
        <w:rPr>
          <w:rFonts w:eastAsia="MS Mincho"/>
        </w:rPr>
        <w:t xml:space="preserve">Measurement of gain, input and output impedance of source follower </w:t>
      </w:r>
    </w:p>
    <w:p>
      <w:pPr>
        <w:numPr>
          <w:ilvl w:val="0"/>
          <w:numId w:val="2"/>
        </w:numPr>
        <w:ind w:left="180" w:firstLine="180"/>
        <w:jc w:val="both"/>
        <w:rPr>
          <w:rFonts w:eastAsia="MS Mincho"/>
        </w:rPr>
      </w:pPr>
      <w:r>
        <w:rPr>
          <w:rFonts w:eastAsia="MS Mincho"/>
        </w:rPr>
        <w:t>Study of Darlington pair emitter follower.</w:t>
      </w:r>
    </w:p>
    <w:p>
      <w:pPr>
        <w:numPr>
          <w:ilvl w:val="0"/>
          <w:numId w:val="2"/>
        </w:numPr>
        <w:ind w:left="180" w:firstLine="180"/>
        <w:jc w:val="both"/>
      </w:pPr>
      <w:r>
        <w:rPr>
          <w:rFonts w:eastAsia="MS Mincho"/>
        </w:rPr>
        <w:t>Design and study of passive filter Circuits (low pass, High pass and band pass)</w:t>
      </w:r>
    </w:p>
    <w:p>
      <w:pPr>
        <w:numPr>
          <w:ilvl w:val="0"/>
          <w:numId w:val="2"/>
        </w:numPr>
        <w:ind w:left="180" w:firstLine="180"/>
        <w:jc w:val="both"/>
      </w:pPr>
      <w:r>
        <w:rPr>
          <w:rFonts w:eastAsia="MS Mincho"/>
        </w:rPr>
        <w:t>Design and study of cascading of filters circuits to simulated transmission lines</w:t>
      </w:r>
    </w:p>
    <w:p>
      <w:pPr>
        <w:numPr>
          <w:ilvl w:val="0"/>
          <w:numId w:val="2"/>
        </w:numPr>
        <w:ind w:left="180" w:firstLine="180"/>
        <w:jc w:val="both"/>
        <w:rPr>
          <w:rFonts w:eastAsia="MS Mincho"/>
        </w:rPr>
      </w:pPr>
      <w:r>
        <w:rPr>
          <w:rFonts w:eastAsia="MS Mincho"/>
        </w:rPr>
        <w:t xml:space="preserve">Design and study </w:t>
      </w:r>
      <w:r>
        <w:t xml:space="preserve">of </w:t>
      </w:r>
      <w:r>
        <w:rPr>
          <w:rFonts w:eastAsia="MS Mincho"/>
        </w:rPr>
        <w:t>half wave and full wave rectifier with different filters.</w:t>
      </w:r>
    </w:p>
    <w:p>
      <w:pPr>
        <w:numPr>
          <w:ilvl w:val="0"/>
          <w:numId w:val="2"/>
        </w:numPr>
        <w:ind w:left="709" w:hanging="349"/>
        <w:jc w:val="both"/>
        <w:rPr>
          <w:rFonts w:eastAsia="MS Mincho"/>
        </w:rPr>
      </w:pPr>
      <w:r>
        <w:rPr>
          <w:rFonts w:eastAsia="MS Mincho"/>
        </w:rPr>
        <w:t>To trace the output of half wave and full wave rectifier with different filters using CRO.</w:t>
      </w:r>
    </w:p>
    <w:p>
      <w:pPr>
        <w:numPr>
          <w:ilvl w:val="0"/>
          <w:numId w:val="2"/>
        </w:numPr>
        <w:ind w:left="180" w:firstLine="180"/>
        <w:jc w:val="both"/>
        <w:rPr>
          <w:rFonts w:eastAsia="MS Mincho"/>
        </w:rPr>
      </w:pPr>
      <w:r>
        <w:t xml:space="preserve">Study the V-I </w:t>
      </w:r>
      <w:r>
        <w:rPr>
          <w:rFonts w:eastAsia="MS Mincho"/>
        </w:rPr>
        <w:t>characteristics of SCR.</w:t>
      </w:r>
    </w:p>
    <w:p>
      <w:pPr>
        <w:numPr>
          <w:ilvl w:val="0"/>
          <w:numId w:val="2"/>
        </w:numPr>
        <w:ind w:left="180" w:firstLine="180"/>
        <w:jc w:val="both"/>
        <w:rPr>
          <w:rFonts w:eastAsia="MS Mincho"/>
        </w:rPr>
      </w:pPr>
      <w:r>
        <w:t xml:space="preserve">Study the V-I </w:t>
      </w:r>
      <w:r>
        <w:rPr>
          <w:rFonts w:eastAsia="MS Mincho"/>
        </w:rPr>
        <w:t xml:space="preserve">characteristics of </w:t>
      </w:r>
      <w:r>
        <w:t>the UJT</w:t>
      </w:r>
      <w:r>
        <w:rPr>
          <w:rFonts w:eastAsia="MS Mincho"/>
        </w:rPr>
        <w:t>.</w:t>
      </w:r>
    </w:p>
    <w:p>
      <w:pPr>
        <w:numPr>
          <w:ilvl w:val="0"/>
          <w:numId w:val="2"/>
        </w:numPr>
        <w:ind w:left="180" w:firstLine="180"/>
        <w:jc w:val="both"/>
        <w:rPr>
          <w:rFonts w:eastAsia="MS Mincho"/>
        </w:rPr>
      </w:pPr>
      <w:r>
        <w:t xml:space="preserve">Study the V-I </w:t>
      </w:r>
      <w:r>
        <w:rPr>
          <w:rFonts w:eastAsia="MS Mincho"/>
        </w:rPr>
        <w:t xml:space="preserve">characteristics of a solar cell. </w:t>
      </w:r>
    </w:p>
    <w:p>
      <w:pPr>
        <w:numPr>
          <w:ilvl w:val="0"/>
          <w:numId w:val="2"/>
        </w:numPr>
        <w:ind w:left="180" w:firstLine="180"/>
        <w:jc w:val="both"/>
        <w:rPr>
          <w:rFonts w:eastAsia="MS Mincho"/>
        </w:rPr>
      </w:pPr>
      <w:r>
        <w:rPr>
          <w:rFonts w:eastAsia="MS Mincho"/>
        </w:rPr>
        <w:t>Study the frequency response of operational amplifier as inverting amplifier.</w:t>
      </w:r>
    </w:p>
    <w:p>
      <w:pPr>
        <w:numPr>
          <w:ilvl w:val="0"/>
          <w:numId w:val="2"/>
        </w:numPr>
        <w:ind w:left="180" w:firstLine="180"/>
        <w:jc w:val="both"/>
        <w:rPr>
          <w:rFonts w:eastAsia="MS Mincho"/>
        </w:rPr>
      </w:pPr>
      <w:r>
        <w:rPr>
          <w:rFonts w:eastAsia="MS Mincho"/>
        </w:rPr>
        <w:t>Study of Differential amplifier and determine its CMRR.</w:t>
      </w:r>
    </w:p>
    <w:p>
      <w:pPr>
        <w:numPr>
          <w:ilvl w:val="0"/>
          <w:numId w:val="2"/>
        </w:numPr>
        <w:ind w:left="180" w:firstLine="180"/>
        <w:jc w:val="both"/>
        <w:rPr>
          <w:rFonts w:eastAsia="MS Mincho"/>
        </w:rPr>
      </w:pPr>
      <w:r>
        <w:rPr>
          <w:rFonts w:eastAsia="MS Mincho"/>
        </w:rPr>
        <w:t xml:space="preserve">Study of voltage divider bias for BJT amplifier and find its operating(Q) point. </w:t>
      </w:r>
    </w:p>
    <w:p>
      <w:pPr>
        <w:numPr>
          <w:ilvl w:val="0"/>
          <w:numId w:val="2"/>
        </w:numPr>
        <w:ind w:left="180" w:firstLine="180"/>
        <w:jc w:val="both"/>
        <w:rPr>
          <w:rFonts w:eastAsia="MS Mincho"/>
        </w:rPr>
      </w:pPr>
      <w:r>
        <w:rPr>
          <w:rFonts w:eastAsia="MS Mincho"/>
        </w:rPr>
        <w:t>Study of Cascode Amplifier.</w:t>
      </w:r>
    </w:p>
    <w:p>
      <w:pPr>
        <w:numPr>
          <w:ilvl w:val="0"/>
          <w:numId w:val="2"/>
        </w:numPr>
        <w:ind w:left="180" w:firstLine="180"/>
        <w:jc w:val="both"/>
        <w:rPr>
          <w:rFonts w:eastAsia="MS Mincho"/>
        </w:rPr>
      </w:pPr>
      <w:r>
        <w:rPr>
          <w:rFonts w:eastAsia="MS Mincho"/>
        </w:rPr>
        <w:t>Measurement of transistor Hybrid parameters.</w:t>
      </w:r>
    </w:p>
    <w:p>
      <w:pPr>
        <w:numPr>
          <w:ilvl w:val="0"/>
          <w:numId w:val="2"/>
        </w:numPr>
        <w:ind w:left="180" w:firstLine="180"/>
        <w:jc w:val="both"/>
        <w:rPr>
          <w:rFonts w:eastAsia="MS Mincho"/>
        </w:rPr>
      </w:pPr>
      <w:r>
        <w:rPr>
          <w:rFonts w:eastAsia="MS Mincho"/>
        </w:rPr>
        <w:t>Study of power amplifier.</w:t>
      </w:r>
    </w:p>
    <w:p>
      <w:pPr>
        <w:numPr>
          <w:ilvl w:val="0"/>
          <w:numId w:val="2"/>
        </w:numPr>
        <w:ind w:left="709" w:hanging="349"/>
        <w:jc w:val="both"/>
        <w:rPr>
          <w:rFonts w:eastAsia="MS Mincho"/>
        </w:rPr>
      </w:pPr>
      <w:r>
        <w:rPr>
          <w:rFonts w:eastAsia="MS Mincho"/>
        </w:rPr>
        <w:t>Measurement of ac voltage operating range and determination of Band width using CRO for a single stage CE amplifier</w:t>
      </w:r>
    </w:p>
    <w:p>
      <w:pPr>
        <w:numPr>
          <w:ilvl w:val="0"/>
          <w:numId w:val="2"/>
        </w:numPr>
        <w:ind w:left="709" w:hanging="349"/>
        <w:jc w:val="both"/>
        <w:rPr>
          <w:rFonts w:eastAsia="MS Mincho"/>
        </w:rPr>
      </w:pPr>
      <w:r>
        <w:rPr>
          <w:rFonts w:eastAsia="MS Mincho"/>
        </w:rPr>
        <w:t>Study of phase and gain variations in low, mid and high frequency regions of a voltage amplifier</w:t>
      </w:r>
    </w:p>
    <w:p>
      <w:pPr>
        <w:ind w:left="180" w:firstLine="180"/>
        <w:jc w:val="both"/>
        <w:rPr>
          <w:rFonts w:eastAsia="MS Mincho"/>
        </w:rPr>
      </w:pPr>
    </w:p>
    <w:p>
      <w:pPr>
        <w:ind w:left="180"/>
        <w:jc w:val="both"/>
        <w:rPr>
          <w:rFonts w:eastAsia="MS Mincho"/>
        </w:rPr>
      </w:pPr>
    </w:p>
    <w:p>
      <w:pPr>
        <w:pStyle w:val="18"/>
        <w:jc w:val="both"/>
      </w:pPr>
    </w:p>
    <w:p>
      <w:pPr>
        <w:pStyle w:val="18"/>
        <w:jc w:val="both"/>
      </w:pPr>
      <w:r>
        <w:t>Note: - New experiments may be added on availability of equipment.</w:t>
      </w:r>
    </w:p>
    <w:sectPr>
      <w:headerReference r:id="rId3" w:type="default"/>
      <w:footerReference r:id="rId4" w:type="default"/>
      <w:pgSz w:w="11909" w:h="16834"/>
      <w:pgMar w:top="1440" w:right="1800" w:bottom="1440" w:left="1800" w:header="0" w:footer="43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t>5</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A4A8E"/>
    <w:multiLevelType w:val="multilevel"/>
    <w:tmpl w:val="004A4A8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788136F4"/>
    <w:multiLevelType w:val="multilevel"/>
    <w:tmpl w:val="788136F4"/>
    <w:lvl w:ilvl="0" w:tentative="0">
      <w:start w:val="1"/>
      <w:numFmt w:val="decimal"/>
      <w:pStyle w:val="17"/>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FF7D3E"/>
    <w:rsid w:val="0001639B"/>
    <w:rsid w:val="00021152"/>
    <w:rsid w:val="00044E5C"/>
    <w:rsid w:val="000A2486"/>
    <w:rsid w:val="000A594B"/>
    <w:rsid w:val="000A77B4"/>
    <w:rsid w:val="000F246A"/>
    <w:rsid w:val="00116392"/>
    <w:rsid w:val="001419CF"/>
    <w:rsid w:val="001C1A8F"/>
    <w:rsid w:val="001D092A"/>
    <w:rsid w:val="0025421C"/>
    <w:rsid w:val="0027204E"/>
    <w:rsid w:val="002821D8"/>
    <w:rsid w:val="002D2CEF"/>
    <w:rsid w:val="002E5D9D"/>
    <w:rsid w:val="0032198A"/>
    <w:rsid w:val="00353A12"/>
    <w:rsid w:val="00376A76"/>
    <w:rsid w:val="00380BD2"/>
    <w:rsid w:val="003D6C32"/>
    <w:rsid w:val="003F023F"/>
    <w:rsid w:val="00447CFF"/>
    <w:rsid w:val="00483935"/>
    <w:rsid w:val="004A0E15"/>
    <w:rsid w:val="004D6C34"/>
    <w:rsid w:val="004F596A"/>
    <w:rsid w:val="0050128C"/>
    <w:rsid w:val="005739C2"/>
    <w:rsid w:val="00590D17"/>
    <w:rsid w:val="005D2501"/>
    <w:rsid w:val="005F7545"/>
    <w:rsid w:val="006850D0"/>
    <w:rsid w:val="00690D28"/>
    <w:rsid w:val="006B1F5F"/>
    <w:rsid w:val="006C6BF1"/>
    <w:rsid w:val="007374E5"/>
    <w:rsid w:val="007446E2"/>
    <w:rsid w:val="0076460A"/>
    <w:rsid w:val="007C204B"/>
    <w:rsid w:val="007C3621"/>
    <w:rsid w:val="007F765F"/>
    <w:rsid w:val="00861322"/>
    <w:rsid w:val="00865A52"/>
    <w:rsid w:val="00866C6C"/>
    <w:rsid w:val="00893BC1"/>
    <w:rsid w:val="00904DF1"/>
    <w:rsid w:val="009309C0"/>
    <w:rsid w:val="009B4118"/>
    <w:rsid w:val="00A20C9F"/>
    <w:rsid w:val="00A634E0"/>
    <w:rsid w:val="00A83405"/>
    <w:rsid w:val="00AC5188"/>
    <w:rsid w:val="00B20D56"/>
    <w:rsid w:val="00B2409D"/>
    <w:rsid w:val="00B54434"/>
    <w:rsid w:val="00B57C79"/>
    <w:rsid w:val="00B858C7"/>
    <w:rsid w:val="00B9671B"/>
    <w:rsid w:val="00BB2E68"/>
    <w:rsid w:val="00C100F1"/>
    <w:rsid w:val="00C20496"/>
    <w:rsid w:val="00C40CD2"/>
    <w:rsid w:val="00C54B2E"/>
    <w:rsid w:val="00C64A80"/>
    <w:rsid w:val="00CE48E0"/>
    <w:rsid w:val="00D07BFE"/>
    <w:rsid w:val="00D10F5D"/>
    <w:rsid w:val="00D556C9"/>
    <w:rsid w:val="00DC1B7A"/>
    <w:rsid w:val="00DC4F66"/>
    <w:rsid w:val="00E67064"/>
    <w:rsid w:val="00F10849"/>
    <w:rsid w:val="00F12EBD"/>
    <w:rsid w:val="00F14E93"/>
    <w:rsid w:val="00F22A75"/>
    <w:rsid w:val="00F3167C"/>
    <w:rsid w:val="00F52F63"/>
    <w:rsid w:val="00F57CC5"/>
    <w:rsid w:val="00F67D1B"/>
    <w:rsid w:val="00F86931"/>
    <w:rsid w:val="00FC5D24"/>
    <w:rsid w:val="00FE507D"/>
    <w:rsid w:val="00FF2118"/>
    <w:rsid w:val="00FF7D3E"/>
    <w:rsid w:val="5D8F63D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hi-IN"/>
    </w:rPr>
  </w:style>
  <w:style w:type="paragraph" w:styleId="2">
    <w:name w:val="heading 1"/>
    <w:basedOn w:val="1"/>
    <w:next w:val="1"/>
    <w:qFormat/>
    <w:uiPriority w:val="0"/>
    <w:pPr>
      <w:keepNext/>
      <w:jc w:val="both"/>
      <w:outlineLvl w:val="0"/>
    </w:pPr>
    <w:rPr>
      <w:b/>
      <w:bCs/>
    </w:rPr>
  </w:style>
  <w:style w:type="paragraph" w:styleId="3">
    <w:name w:val="heading 2"/>
    <w:basedOn w:val="1"/>
    <w:next w:val="1"/>
    <w:qFormat/>
    <w:uiPriority w:val="0"/>
    <w:pPr>
      <w:keepNext/>
      <w:outlineLvl w:val="1"/>
    </w:pPr>
    <w:rPr>
      <w:b/>
      <w:bCs/>
    </w:rPr>
  </w:style>
  <w:style w:type="paragraph" w:styleId="4">
    <w:name w:val="heading 5"/>
    <w:basedOn w:val="1"/>
    <w:next w:val="1"/>
    <w:qFormat/>
    <w:uiPriority w:val="0"/>
    <w:pPr>
      <w:keepNext/>
      <w:jc w:val="center"/>
      <w:outlineLvl w:val="4"/>
    </w:pPr>
    <w:rPr>
      <w:b/>
      <w:bCs/>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lock Text"/>
    <w:basedOn w:val="1"/>
    <w:uiPriority w:val="0"/>
    <w:pPr>
      <w:ind w:left="360" w:right="432"/>
      <w:jc w:val="both"/>
    </w:pPr>
  </w:style>
  <w:style w:type="paragraph" w:styleId="8">
    <w:name w:val="Body Text"/>
    <w:basedOn w:val="1"/>
    <w:uiPriority w:val="0"/>
    <w:pPr>
      <w:jc w:val="both"/>
    </w:pPr>
  </w:style>
  <w:style w:type="paragraph" w:styleId="9">
    <w:name w:val="Body Text Indent"/>
    <w:basedOn w:val="1"/>
    <w:uiPriority w:val="0"/>
    <w:pPr>
      <w:ind w:left="180"/>
      <w:jc w:val="both"/>
    </w:pPr>
    <w:rPr>
      <w:rFonts w:eastAsia="MS Mincho"/>
    </w:rPr>
  </w:style>
  <w:style w:type="paragraph" w:styleId="10">
    <w:name w:val="footer"/>
    <w:basedOn w:val="1"/>
    <w:link w:val="16"/>
    <w:uiPriority w:val="99"/>
    <w:pPr>
      <w:tabs>
        <w:tab w:val="center" w:pos="4320"/>
        <w:tab w:val="right" w:pos="8640"/>
      </w:tabs>
    </w:pPr>
  </w:style>
  <w:style w:type="paragraph" w:styleId="11">
    <w:name w:val="header"/>
    <w:basedOn w:val="1"/>
    <w:link w:val="15"/>
    <w:uiPriority w:val="99"/>
    <w:pPr>
      <w:tabs>
        <w:tab w:val="center" w:pos="4320"/>
        <w:tab w:val="right" w:pos="8640"/>
      </w:tabs>
    </w:pPr>
    <w:rPr>
      <w:lang w:bidi="ar-SA"/>
    </w:rPr>
  </w:style>
  <w:style w:type="paragraph" w:styleId="12">
    <w:name w:val="Plain Text"/>
    <w:basedOn w:val="1"/>
    <w:uiPriority w:val="0"/>
    <w:rPr>
      <w:rFonts w:ascii="Courier New" w:hAnsi="Courier New"/>
      <w:sz w:val="20"/>
      <w:szCs w:val="20"/>
    </w:rPr>
  </w:style>
  <w:style w:type="paragraph" w:customStyle="1" w:styleId="13">
    <w:name w:val="Unit Text"/>
    <w:basedOn w:val="1"/>
    <w:uiPriority w:val="0"/>
    <w:pPr>
      <w:spacing w:after="120"/>
      <w:jc w:val="both"/>
    </w:pPr>
    <w:rPr>
      <w:rFonts w:ascii="Bookman Old Style" w:hAnsi="Bookman Old Style"/>
      <w:lang w:bidi="ar-SA"/>
    </w:rPr>
  </w:style>
  <w:style w:type="paragraph" w:customStyle="1" w:styleId="14">
    <w:name w:val="NoteOnUnit"/>
    <w:basedOn w:val="13"/>
    <w:next w:val="13"/>
    <w:uiPriority w:val="0"/>
    <w:pPr>
      <w:ind w:left="720" w:hanging="720"/>
      <w:jc w:val="left"/>
    </w:pPr>
    <w:rPr>
      <w:rFonts w:ascii="Arial" w:hAnsi="Arial"/>
      <w:bCs/>
    </w:rPr>
  </w:style>
  <w:style w:type="character" w:customStyle="1" w:styleId="15">
    <w:name w:val="Header Char"/>
    <w:basedOn w:val="5"/>
    <w:link w:val="11"/>
    <w:uiPriority w:val="99"/>
    <w:rPr>
      <w:sz w:val="24"/>
      <w:szCs w:val="24"/>
    </w:rPr>
  </w:style>
  <w:style w:type="character" w:customStyle="1" w:styleId="16">
    <w:name w:val="Footer Char"/>
    <w:basedOn w:val="5"/>
    <w:link w:val="10"/>
    <w:uiPriority w:val="99"/>
    <w:rPr>
      <w:sz w:val="24"/>
      <w:szCs w:val="24"/>
      <w:lang w:bidi="hi-IN"/>
    </w:rPr>
  </w:style>
  <w:style w:type="paragraph" w:customStyle="1" w:styleId="17">
    <w:name w:val="ListBook"/>
    <w:basedOn w:val="1"/>
    <w:uiPriority w:val="0"/>
    <w:pPr>
      <w:numPr>
        <w:ilvl w:val="0"/>
        <w:numId w:val="1"/>
      </w:numPr>
      <w:spacing w:after="120"/>
      <w:jc w:val="both"/>
    </w:pPr>
    <w:rPr>
      <w:lang w:bidi="ar-SA"/>
    </w:rPr>
  </w:style>
  <w:style w:type="paragraph" w:styleId="18">
    <w:name w:val="List Paragraph"/>
    <w:basedOn w:val="1"/>
    <w:qFormat/>
    <w:uiPriority w:val="34"/>
    <w:pPr>
      <w:ind w:left="720"/>
      <w:contextualSpacing/>
    </w:pPr>
    <w:rPr>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xyz</Company>
  <Pages>5</Pages>
  <Words>1284</Words>
  <Characters>7319</Characters>
  <Lines>60</Lines>
  <Paragraphs>17</Paragraphs>
  <TotalTime>0</TotalTime>
  <ScaleCrop>false</ScaleCrop>
  <LinksUpToDate>false</LinksUpToDate>
  <CharactersWithSpaces>8586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2013-05-08T03:53:00Z</dcterms:created>
  <dc:creator>SONU</dc:creator>
  <cp:lastModifiedBy>Birm Blogger</cp:lastModifiedBy>
  <cp:lastPrinted>2000-12-31T19:53:00Z</cp:lastPrinted>
  <dcterms:modified xsi:type="dcterms:W3CDTF">2021-12-12T07:04:47Z</dcterms:modified>
  <dc:title>Paper I</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F89087B293C44AF880A365DC00AB8112</vt:lpwstr>
  </property>
</Properties>
</file>